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164" w:rsidRDefault="00E05AE1">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A31164" w:rsidRDefault="00E05AE1">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31164" w:rsidRDefault="00E05AE1">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31164" w:rsidRDefault="00E05AE1">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31164" w:rsidRDefault="00E05AE1">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A31164" w:rsidRDefault="00E05AE1">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31164" w:rsidRDefault="00E05AE1">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31164" w:rsidRDefault="00E05AE1">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31164" w:rsidRDefault="00E05AE1">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31164" w:rsidRDefault="00E05AE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31164" w:rsidRDefault="00E05AE1">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31164" w:rsidRDefault="00E05AE1">
      <w:pPr>
        <w:pStyle w:val="Normal189547a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31164" w:rsidRDefault="00E05AE1">
      <w:pPr>
        <w:spacing w:line="200" w:lineRule="exact"/>
      </w:pPr>
      <w:r>
        <w:rPr>
          <w:rFonts w:cs="宋体"/>
          <w:b/>
          <w:sz w:val="13"/>
          <w:szCs w:val="20"/>
        </w:rPr>
        <w:t xml:space="preserve">    1.</w:t>
      </w:r>
      <w:r>
        <w:rPr>
          <w:rFonts w:cs="宋体"/>
          <w:b/>
          <w:sz w:val="13"/>
          <w:szCs w:val="20"/>
        </w:rPr>
        <w:t>债券类资产投资风险</w:t>
      </w:r>
    </w:p>
    <w:p w:rsidR="00A31164" w:rsidRDefault="00E05AE1">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31164" w:rsidRDefault="00E05AE1">
      <w:pPr>
        <w:spacing w:line="200" w:lineRule="exact"/>
      </w:pPr>
      <w:r>
        <w:rPr>
          <w:rFonts w:cs="宋体"/>
          <w:b/>
          <w:sz w:val="13"/>
          <w:szCs w:val="20"/>
        </w:rPr>
        <w:t xml:space="preserve">    2.</w:t>
      </w:r>
      <w:r>
        <w:rPr>
          <w:rFonts w:cs="宋体"/>
          <w:b/>
          <w:sz w:val="13"/>
          <w:szCs w:val="20"/>
        </w:rPr>
        <w:t>非标准化债权类资产投资风险</w:t>
      </w:r>
    </w:p>
    <w:p w:rsidR="00A31164" w:rsidRDefault="00E05AE1">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31164" w:rsidRDefault="00E05AE1">
      <w:pPr>
        <w:spacing w:line="200" w:lineRule="exact"/>
      </w:pPr>
      <w:r>
        <w:rPr>
          <w:rFonts w:cs="宋体"/>
          <w:b/>
          <w:sz w:val="13"/>
          <w:szCs w:val="20"/>
        </w:rPr>
        <w:t xml:space="preserve">    3.</w:t>
      </w:r>
      <w:r>
        <w:rPr>
          <w:rFonts w:cs="宋体"/>
          <w:b/>
          <w:sz w:val="13"/>
          <w:szCs w:val="20"/>
        </w:rPr>
        <w:t>资产管理产品投资风险</w:t>
      </w:r>
    </w:p>
    <w:p w:rsidR="00A31164" w:rsidRDefault="00E05AE1">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31164" w:rsidRDefault="00E05AE1">
      <w:pPr>
        <w:spacing w:line="200" w:lineRule="exact"/>
      </w:pPr>
      <w:r>
        <w:rPr>
          <w:rFonts w:cs="宋体"/>
          <w:b/>
          <w:sz w:val="13"/>
          <w:szCs w:val="20"/>
        </w:rPr>
        <w:t xml:space="preserve">    4.</w:t>
      </w:r>
      <w:r>
        <w:rPr>
          <w:rFonts w:cs="宋体"/>
          <w:b/>
          <w:sz w:val="13"/>
          <w:szCs w:val="20"/>
        </w:rPr>
        <w:t>非标准化债权类资产无法投资的风险</w:t>
      </w:r>
    </w:p>
    <w:p w:rsidR="00A31164" w:rsidRDefault="00E05AE1">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31164" w:rsidRDefault="00E05AE1">
      <w:pPr>
        <w:pStyle w:val="Normal189547a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31164" w:rsidRDefault="00E05AE1">
      <w:pPr>
        <w:pStyle w:val="Normal189547a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A31164" w:rsidRDefault="00E05AE1">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31164" w:rsidRDefault="00E05AE1">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31164" w:rsidRDefault="00E05AE1">
      <w:pPr>
        <w:pStyle w:val="Normal189547ab"/>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31164" w:rsidRDefault="00E05AE1">
      <w:pPr>
        <w:pStyle w:val="Normal189547a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31164" w:rsidRDefault="00E05AE1">
      <w:pPr>
        <w:pStyle w:val="Normal189547ab"/>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31164" w:rsidRDefault="00E05AE1">
      <w:pPr>
        <w:pStyle w:val="Normal189547a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31164" w:rsidRDefault="00A31164">
      <w:pPr>
        <w:pStyle w:val="Normal189547ab"/>
        <w:widowControl/>
        <w:spacing w:line="200" w:lineRule="exact"/>
        <w:ind w:firstLine="260"/>
        <w:rPr>
          <w:b/>
          <w:color w:val="3D3D3D"/>
          <w:kern w:val="0"/>
          <w:sz w:val="13"/>
          <w:szCs w:val="13"/>
        </w:rPr>
      </w:pPr>
    </w:p>
    <w:p w:rsidR="00A31164" w:rsidRDefault="00E05AE1">
      <w:pPr>
        <w:pStyle w:val="Normal189547a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31164" w:rsidRDefault="00A31164">
      <w:pPr>
        <w:pStyle w:val="Normal189547ab"/>
        <w:widowControl/>
        <w:spacing w:line="200" w:lineRule="exact"/>
        <w:ind w:firstLine="260"/>
        <w:jc w:val="center"/>
        <w:rPr>
          <w:b/>
          <w:color w:val="3D3D3D"/>
          <w:kern w:val="0"/>
          <w:sz w:val="15"/>
          <w:szCs w:val="15"/>
          <w:u w:val="single"/>
        </w:rPr>
      </w:pPr>
    </w:p>
    <w:p w:rsidR="00A31164" w:rsidRDefault="00E05AE1">
      <w:pPr>
        <w:pStyle w:val="Normal189547ab"/>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31164" w:rsidRDefault="00E05AE1">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31164" w:rsidRDefault="00E05AE1">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31164" w:rsidRDefault="00E05AE1">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31164" w:rsidRDefault="00E05AE1">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31164" w:rsidRDefault="00E05AE1">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31164" w:rsidRDefault="00E05AE1">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31164" w:rsidRDefault="00E05AE1">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31164" w:rsidRDefault="00E05AE1">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31164" w:rsidRDefault="00E05AE1">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31164" w:rsidRDefault="00E05AE1">
      <w:pPr>
        <w:widowControl/>
        <w:spacing w:line="200" w:lineRule="exact"/>
        <w:ind w:firstLine="210"/>
        <w:rPr>
          <w:color w:val="3D3D3D"/>
          <w:kern w:val="0"/>
          <w:sz w:val="15"/>
          <w:szCs w:val="15"/>
        </w:rPr>
      </w:pPr>
      <w:r>
        <w:rPr>
          <w:rFonts w:hint="eastAsia"/>
          <w:color w:val="3D3D3D"/>
          <w:kern w:val="0"/>
          <w:sz w:val="15"/>
          <w:szCs w:val="15"/>
        </w:rPr>
        <w:t xml:space="preserve">         </w:t>
      </w:r>
    </w:p>
    <w:p w:rsidR="00A31164" w:rsidRDefault="00A31164">
      <w:pPr>
        <w:widowControl/>
        <w:spacing w:line="200" w:lineRule="exact"/>
        <w:ind w:firstLine="210"/>
        <w:rPr>
          <w:color w:val="3D3D3D"/>
          <w:kern w:val="0"/>
          <w:sz w:val="15"/>
          <w:szCs w:val="15"/>
        </w:rPr>
      </w:pPr>
    </w:p>
    <w:p w:rsidR="00A31164" w:rsidRDefault="00E05AE1">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31164" w:rsidRDefault="00A31164">
      <w:pPr>
        <w:widowControl/>
        <w:spacing w:line="200" w:lineRule="exact"/>
        <w:ind w:firstLine="210"/>
        <w:rPr>
          <w:color w:val="3D3D3D"/>
          <w:kern w:val="0"/>
          <w:sz w:val="13"/>
          <w:szCs w:val="13"/>
        </w:rPr>
      </w:pPr>
    </w:p>
    <w:p w:rsidR="00A31164" w:rsidRDefault="00A31164">
      <w:pPr>
        <w:widowControl/>
        <w:spacing w:line="200" w:lineRule="exact"/>
        <w:ind w:firstLine="210"/>
        <w:jc w:val="left"/>
        <w:rPr>
          <w:color w:val="3D3D3D"/>
          <w:kern w:val="0"/>
          <w:sz w:val="13"/>
          <w:szCs w:val="13"/>
        </w:rPr>
      </w:pPr>
    </w:p>
    <w:p w:rsidR="00A31164" w:rsidRDefault="00A31164">
      <w:pPr>
        <w:widowControl/>
        <w:spacing w:line="200" w:lineRule="exact"/>
        <w:ind w:firstLine="210"/>
        <w:jc w:val="left"/>
        <w:rPr>
          <w:color w:val="3D3D3D"/>
          <w:kern w:val="0"/>
          <w:sz w:val="13"/>
          <w:szCs w:val="13"/>
        </w:rPr>
      </w:pPr>
    </w:p>
    <w:tbl>
      <w:tblPr>
        <w:tblW w:w="0" w:type="auto"/>
        <w:tblInd w:w="-1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3116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400" w:lineRule="exact"/>
              <w:jc w:val="center"/>
              <w:rPr>
                <w:b/>
                <w:sz w:val="15"/>
                <w:szCs w:val="15"/>
              </w:rPr>
            </w:pPr>
            <w:r>
              <w:rPr>
                <w:rFonts w:hint="eastAsia"/>
                <w:b/>
                <w:sz w:val="15"/>
                <w:szCs w:val="15"/>
              </w:rPr>
              <w:t>个人投资者</w:t>
            </w:r>
          </w:p>
        </w:tc>
      </w:tr>
      <w:tr w:rsidR="00A31164">
        <w:tc>
          <w:tcPr>
            <w:tcW w:w="9287" w:type="dxa"/>
            <w:tcBorders>
              <w:top w:val="single" w:sz="4" w:space="0" w:color="auto"/>
              <w:left w:val="single" w:sz="4" w:space="0" w:color="auto"/>
              <w:bottom w:val="single" w:sz="4" w:space="0" w:color="auto"/>
              <w:right w:val="single" w:sz="4" w:space="0" w:color="auto"/>
              <w:tl2br w:val="nil"/>
              <w:tr2bl w:val="nil"/>
            </w:tcBorders>
          </w:tcPr>
          <w:p w:rsidR="00A31164" w:rsidRDefault="00E05AE1">
            <w:pPr>
              <w:widowControl/>
              <w:spacing w:line="360" w:lineRule="auto"/>
              <w:rPr>
                <w:color w:val="3D3D3D"/>
                <w:kern w:val="0"/>
                <w:sz w:val="13"/>
                <w:szCs w:val="13"/>
              </w:rPr>
            </w:pPr>
            <w:r>
              <w:rPr>
                <w:rFonts w:hint="eastAsia"/>
                <w:sz w:val="15"/>
                <w:szCs w:val="15"/>
              </w:rPr>
              <w:t>签名：</w:t>
            </w:r>
          </w:p>
          <w:p w:rsidR="00A31164" w:rsidRDefault="00E05AE1">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3116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400" w:lineRule="exact"/>
              <w:jc w:val="center"/>
              <w:rPr>
                <w:sz w:val="15"/>
                <w:szCs w:val="15"/>
              </w:rPr>
            </w:pPr>
            <w:r>
              <w:rPr>
                <w:rFonts w:hint="eastAsia"/>
                <w:b/>
                <w:bCs/>
                <w:color w:val="3D3D3D"/>
                <w:kern w:val="0"/>
                <w:sz w:val="15"/>
                <w:szCs w:val="15"/>
              </w:rPr>
              <w:t>机构投资者</w:t>
            </w:r>
          </w:p>
        </w:tc>
      </w:tr>
      <w:tr w:rsidR="00A31164">
        <w:tc>
          <w:tcPr>
            <w:tcW w:w="9287" w:type="dxa"/>
            <w:tcBorders>
              <w:top w:val="single" w:sz="4" w:space="0" w:color="auto"/>
              <w:left w:val="single" w:sz="4" w:space="0" w:color="auto"/>
              <w:bottom w:val="single" w:sz="4" w:space="0" w:color="auto"/>
              <w:right w:val="single" w:sz="4" w:space="0" w:color="auto"/>
              <w:tl2br w:val="nil"/>
              <w:tr2bl w:val="nil"/>
            </w:tcBorders>
          </w:tcPr>
          <w:p w:rsidR="00A31164" w:rsidRDefault="00A31164">
            <w:pPr>
              <w:widowControl/>
              <w:spacing w:line="200" w:lineRule="exact"/>
              <w:jc w:val="left"/>
              <w:rPr>
                <w:b/>
                <w:bCs/>
                <w:color w:val="3D3D3D"/>
                <w:kern w:val="0"/>
                <w:sz w:val="15"/>
                <w:szCs w:val="15"/>
              </w:rPr>
            </w:pPr>
          </w:p>
          <w:p w:rsidR="00A31164" w:rsidRDefault="00E05AE1">
            <w:pPr>
              <w:widowControl/>
              <w:spacing w:line="200" w:lineRule="exact"/>
              <w:jc w:val="left"/>
              <w:rPr>
                <w:b/>
                <w:bCs/>
                <w:color w:val="3D3D3D"/>
                <w:kern w:val="0"/>
                <w:sz w:val="15"/>
                <w:szCs w:val="15"/>
              </w:rPr>
            </w:pPr>
            <w:r>
              <w:rPr>
                <w:rFonts w:hint="eastAsia"/>
                <w:b/>
                <w:bCs/>
                <w:color w:val="3D3D3D"/>
                <w:kern w:val="0"/>
                <w:sz w:val="15"/>
                <w:szCs w:val="15"/>
              </w:rPr>
              <w:t>盖章（公章）</w:t>
            </w:r>
          </w:p>
          <w:p w:rsidR="00A31164" w:rsidRDefault="00A31164">
            <w:pPr>
              <w:widowControl/>
              <w:spacing w:line="200" w:lineRule="exact"/>
              <w:jc w:val="left"/>
              <w:rPr>
                <w:b/>
                <w:bCs/>
                <w:color w:val="3D3D3D"/>
                <w:kern w:val="0"/>
                <w:sz w:val="15"/>
                <w:szCs w:val="15"/>
              </w:rPr>
            </w:pPr>
          </w:p>
          <w:p w:rsidR="00A31164" w:rsidRDefault="00E05AE1">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31164" w:rsidRDefault="00A31164">
            <w:pPr>
              <w:widowControl/>
              <w:spacing w:line="200" w:lineRule="exact"/>
              <w:jc w:val="left"/>
              <w:rPr>
                <w:color w:val="3D3D3D"/>
                <w:kern w:val="0"/>
                <w:sz w:val="13"/>
                <w:szCs w:val="13"/>
              </w:rPr>
            </w:pPr>
          </w:p>
          <w:p w:rsidR="00A31164" w:rsidRDefault="00E05AE1">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3116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31164">
        <w:tc>
          <w:tcPr>
            <w:tcW w:w="9287" w:type="dxa"/>
            <w:tcBorders>
              <w:top w:val="single" w:sz="4" w:space="0" w:color="auto"/>
              <w:left w:val="single" w:sz="4" w:space="0" w:color="auto"/>
              <w:bottom w:val="single" w:sz="4" w:space="0" w:color="auto"/>
              <w:right w:val="single" w:sz="4" w:space="0" w:color="auto"/>
              <w:tl2br w:val="nil"/>
              <w:tr2bl w:val="nil"/>
            </w:tcBorders>
          </w:tcPr>
          <w:p w:rsidR="00A31164" w:rsidRDefault="00E05AE1">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31164" w:rsidRDefault="00E05AE1">
      <w:r>
        <w:br w:type="page"/>
      </w:r>
    </w:p>
    <w:p w:rsidR="00A31164" w:rsidRDefault="00E05AE1">
      <w:pPr>
        <w:pStyle w:val="Normal44228490"/>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A31164" w:rsidRDefault="00E05AE1">
      <w:pPr>
        <w:pStyle w:val="Normal4422849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31164" w:rsidRDefault="00E05AE1">
      <w:pPr>
        <w:pStyle w:val="NormalWeb94b410a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3116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120</w:t>
            </w:r>
            <w:r>
              <w:rPr>
                <w:rFonts w:hint="eastAsia"/>
                <w:kern w:val="0"/>
                <w:sz w:val="18"/>
                <w:szCs w:val="18"/>
              </w:rPr>
              <w:t>期封闭式公募人民币理财产品</w:t>
            </w:r>
          </w:p>
        </w:tc>
      </w:tr>
      <w:tr w:rsidR="00A3116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31164" w:rsidRDefault="00E05AE1">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31164" w:rsidRDefault="00E05AE1">
            <w:pPr>
              <w:widowControl/>
              <w:spacing w:line="200" w:lineRule="exact"/>
              <w:jc w:val="left"/>
              <w:rPr>
                <w:kern w:val="0"/>
                <w:sz w:val="18"/>
                <w:szCs w:val="18"/>
              </w:rPr>
            </w:pPr>
            <w:r>
              <w:rPr>
                <w:rFonts w:hint="eastAsia"/>
                <w:kern w:val="0"/>
                <w:sz w:val="18"/>
                <w:szCs w:val="18"/>
              </w:rPr>
              <w:t>封闭式、固定收益类、公募、净值型</w:t>
            </w:r>
          </w:p>
        </w:tc>
      </w:tr>
      <w:tr w:rsidR="00A3116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31164" w:rsidRDefault="00E05AE1">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31164" w:rsidRDefault="00E05AE1">
            <w:pPr>
              <w:widowControl/>
              <w:spacing w:line="200" w:lineRule="exact"/>
              <w:jc w:val="left"/>
              <w:rPr>
                <w:kern w:val="0"/>
                <w:sz w:val="18"/>
                <w:szCs w:val="18"/>
              </w:rPr>
            </w:pPr>
            <w:r>
              <w:rPr>
                <w:rFonts w:hint="eastAsia"/>
                <w:kern w:val="0"/>
                <w:sz w:val="18"/>
                <w:szCs w:val="18"/>
              </w:rPr>
              <w:t>公开募集</w:t>
            </w:r>
          </w:p>
        </w:tc>
      </w:tr>
      <w:tr w:rsidR="00A3116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ZZ700322500230</w:t>
            </w:r>
          </w:p>
        </w:tc>
      </w:tr>
      <w:tr w:rsidR="00A3116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cs="宋体" w:hint="eastAsia"/>
                <w:kern w:val="0"/>
                <w:sz w:val="18"/>
                <w:szCs w:val="18"/>
              </w:rPr>
              <w:t>Z7003225000147(</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A3116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A</w:t>
            </w:r>
            <w:r>
              <w:rPr>
                <w:rFonts w:cs="宋体"/>
                <w:sz w:val="18"/>
                <w:szCs w:val="18"/>
              </w:rPr>
              <w:t>份额：</w:t>
            </w:r>
            <w:r>
              <w:rPr>
                <w:rFonts w:cs="宋体"/>
                <w:sz w:val="18"/>
                <w:szCs w:val="18"/>
              </w:rPr>
              <w:t>Y60120</w:t>
            </w:r>
          </w:p>
          <w:p w:rsidR="00A31164" w:rsidRDefault="00E05AE1">
            <w:pPr>
              <w:spacing w:line="200" w:lineRule="exact"/>
            </w:pPr>
            <w:r>
              <w:rPr>
                <w:rFonts w:cs="宋体"/>
                <w:sz w:val="18"/>
                <w:szCs w:val="18"/>
              </w:rPr>
              <w:t>B</w:t>
            </w:r>
            <w:r>
              <w:rPr>
                <w:rFonts w:cs="宋体"/>
                <w:sz w:val="18"/>
                <w:szCs w:val="18"/>
              </w:rPr>
              <w:t>份额：</w:t>
            </w:r>
            <w:r>
              <w:rPr>
                <w:rFonts w:cs="宋体"/>
                <w:sz w:val="18"/>
                <w:szCs w:val="18"/>
              </w:rPr>
              <w:t>Y61120</w:t>
            </w:r>
          </w:p>
          <w:p w:rsidR="00A31164" w:rsidRDefault="00E05AE1">
            <w:pPr>
              <w:spacing w:line="200" w:lineRule="exact"/>
            </w:pPr>
            <w:r>
              <w:rPr>
                <w:rFonts w:cs="宋体"/>
                <w:sz w:val="18"/>
                <w:szCs w:val="18"/>
              </w:rPr>
              <w:t>C</w:t>
            </w:r>
            <w:r>
              <w:rPr>
                <w:rFonts w:cs="宋体"/>
                <w:sz w:val="18"/>
                <w:szCs w:val="18"/>
              </w:rPr>
              <w:t>份额：</w:t>
            </w:r>
            <w:r>
              <w:rPr>
                <w:rFonts w:cs="宋体"/>
                <w:sz w:val="18"/>
                <w:szCs w:val="18"/>
              </w:rPr>
              <w:t>Y62120</w:t>
            </w:r>
          </w:p>
          <w:p w:rsidR="00A31164" w:rsidRDefault="00E05AE1">
            <w:pPr>
              <w:spacing w:line="200" w:lineRule="exact"/>
            </w:pPr>
            <w:r>
              <w:rPr>
                <w:rFonts w:cs="宋体"/>
                <w:b/>
                <w:sz w:val="18"/>
                <w:szCs w:val="18"/>
              </w:rPr>
              <w:t>注：本产品不同份额针对不同的销售机构及客群进行销售，设置有不同的销售费和管理费。</w:t>
            </w:r>
          </w:p>
        </w:tc>
      </w:tr>
      <w:tr w:rsidR="00A3116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全国</w:t>
            </w:r>
          </w:p>
        </w:tc>
      </w:tr>
      <w:tr w:rsidR="00A3116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widowControl/>
              <w:spacing w:line="200" w:lineRule="exact"/>
              <w:jc w:val="left"/>
              <w:textAlignment w:val="center"/>
              <w:rPr>
                <w:kern w:val="0"/>
                <w:sz w:val="18"/>
                <w:szCs w:val="18"/>
              </w:rPr>
            </w:pPr>
            <w:r>
              <w:rPr>
                <w:rFonts w:hint="eastAsia"/>
                <w:kern w:val="0"/>
                <w:sz w:val="18"/>
                <w:szCs w:val="18"/>
              </w:rPr>
              <w:t>人民币</w:t>
            </w:r>
          </w:p>
        </w:tc>
      </w:tr>
      <w:tr w:rsidR="00A3116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3116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A31164" w:rsidRDefault="00E05AE1">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3116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jc w:val="left"/>
            </w:pPr>
            <w:r>
              <w:rPr>
                <w:rFonts w:cs="宋体"/>
                <w:sz w:val="18"/>
                <w:szCs w:val="18"/>
              </w:rPr>
              <w:t>符合相关法律法规、监管规定要求的，经销售机构的风险承受能力评估体系评定为适合的个人和机构投资者。</w:t>
            </w:r>
          </w:p>
          <w:p w:rsidR="00A31164" w:rsidRDefault="00E05AE1">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31164" w:rsidRDefault="00E05AE1">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、温州银行股份有限公司、齐鲁银</w:t>
            </w:r>
            <w:r>
              <w:rPr>
                <w:rFonts w:cs="宋体"/>
                <w:sz w:val="18"/>
                <w:szCs w:val="18"/>
              </w:rPr>
              <w:t>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、东营银行股份有限公司、桂林银行股份有限公司、宁波通商银行股份有限公司、江苏镇江农村商业银行股份有限公司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p>
          <w:p w:rsidR="00A31164" w:rsidRDefault="00E05AE1">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、兰州银行股份有限公司、江苏泰兴农村商业银行股份有限公司、江苏靖江农村商业银行股份有限公司、江苏镇江农村商业银行股份有限公司</w:t>
            </w:r>
            <w:r>
              <w:rPr>
                <w:rFonts w:cs="宋体"/>
                <w:sz w:val="18"/>
                <w:szCs w:val="18"/>
              </w:rPr>
              <w:t xml:space="preserve">( </w:t>
            </w:r>
            <w:r>
              <w:rPr>
                <w:rFonts w:cs="宋体"/>
                <w:sz w:val="18"/>
                <w:szCs w:val="18"/>
              </w:rPr>
              <w:t>100</w:t>
            </w:r>
            <w:r>
              <w:rPr>
                <w:rFonts w:cs="宋体"/>
                <w:sz w:val="18"/>
                <w:szCs w:val="18"/>
              </w:rPr>
              <w:t>万元起购</w:t>
            </w:r>
            <w:r>
              <w:rPr>
                <w:rFonts w:cs="宋体"/>
                <w:sz w:val="18"/>
                <w:szCs w:val="18"/>
              </w:rPr>
              <w:t>)</w:t>
            </w:r>
            <w:r>
              <w:rPr>
                <w:rFonts w:cs="宋体"/>
                <w:sz w:val="18"/>
                <w:szCs w:val="18"/>
              </w:rPr>
              <w:t>、江苏如东农村商业银行股份有限公司。</w:t>
            </w:r>
          </w:p>
          <w:p w:rsidR="00A31164" w:rsidRDefault="00E05AE1">
            <w:pPr>
              <w:spacing w:line="200" w:lineRule="exact"/>
            </w:pPr>
            <w:r>
              <w:rPr>
                <w:rFonts w:cs="宋体"/>
                <w:b/>
                <w:sz w:val="18"/>
                <w:szCs w:val="18"/>
              </w:rPr>
              <w:t>注：本产品不同份额针对不同的销售机构及客群进行销售，设置有不同的销售费和管理费。</w:t>
            </w:r>
          </w:p>
          <w:p w:rsidR="00A31164" w:rsidRDefault="00E05AE1">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A3116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A31164" w:rsidRDefault="00E05AE1">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A31164" w:rsidRDefault="00E05AE1">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A31164" w:rsidRDefault="00E05AE1">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31164" w:rsidRDefault="00E05AE1">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311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A31164" w:rsidRDefault="00E05AE1">
            <w:pPr>
              <w:spacing w:line="200" w:lineRule="exact"/>
            </w:pPr>
            <w:r>
              <w:rPr>
                <w:rFonts w:cs="宋体"/>
                <w:sz w:val="18"/>
                <w:szCs w:val="18"/>
              </w:rPr>
              <w:t>暂不设置单个投资者持有金额上限；</w:t>
            </w:r>
          </w:p>
          <w:p w:rsidR="00A31164" w:rsidRDefault="00E05AE1">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31164" w:rsidRDefault="00E05AE1">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311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31164" w:rsidRDefault="00E05AE1">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311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28</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A311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3116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rPr>
                <w:color w:val="000000"/>
                <w:kern w:val="0"/>
                <w:sz w:val="18"/>
                <w:szCs w:val="18"/>
              </w:rPr>
            </w:pPr>
            <w:r>
              <w:rPr>
                <w:rFonts w:hint="eastAsia"/>
                <w:color w:val="000000"/>
                <w:kern w:val="0"/>
                <w:sz w:val="18"/>
                <w:szCs w:val="18"/>
              </w:rPr>
              <w:t>同产品成立日</w:t>
            </w:r>
          </w:p>
        </w:tc>
      </w:tr>
      <w:tr w:rsidR="00A3116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04</w:t>
            </w:r>
            <w:r>
              <w:rPr>
                <w:rFonts w:hint="eastAsia"/>
                <w:kern w:val="0"/>
                <w:sz w:val="18"/>
                <w:szCs w:val="18"/>
              </w:rPr>
              <w:t>日</w:t>
            </w:r>
          </w:p>
        </w:tc>
      </w:tr>
      <w:tr w:rsidR="00A311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2025</w:t>
            </w:r>
            <w:r>
              <w:rPr>
                <w:rFonts w:cs="宋体"/>
                <w:sz w:val="18"/>
                <w:szCs w:val="18"/>
              </w:rPr>
              <w:t>年</w:t>
            </w:r>
            <w:r>
              <w:rPr>
                <w:rFonts w:cs="宋体"/>
                <w:sz w:val="18"/>
                <w:szCs w:val="18"/>
              </w:rPr>
              <w:t>06</w:t>
            </w:r>
            <w:r>
              <w:rPr>
                <w:rFonts w:cs="宋体"/>
                <w:sz w:val="18"/>
                <w:szCs w:val="18"/>
              </w:rPr>
              <w:t>月</w:t>
            </w:r>
            <w:r>
              <w:rPr>
                <w:rFonts w:cs="宋体"/>
                <w:sz w:val="18"/>
                <w:szCs w:val="18"/>
              </w:rPr>
              <w:t>04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3116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23</w:t>
            </w:r>
            <w:r>
              <w:rPr>
                <w:rFonts w:hint="eastAsia"/>
                <w:kern w:val="0"/>
                <w:sz w:val="18"/>
                <w:szCs w:val="18"/>
              </w:rPr>
              <w:t>日</w:t>
            </w:r>
          </w:p>
        </w:tc>
      </w:tr>
      <w:tr w:rsidR="00A311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A3116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本理财产品存续期间不进行分红。</w:t>
            </w:r>
          </w:p>
          <w:p w:rsidR="00A31164" w:rsidRDefault="00E05AE1">
            <w:pPr>
              <w:spacing w:line="200" w:lineRule="exact"/>
            </w:pPr>
            <w:r>
              <w:rPr>
                <w:rFonts w:cs="宋体"/>
                <w:sz w:val="18"/>
                <w:szCs w:val="18"/>
              </w:rPr>
              <w:t>产品到期后，理财产品管理人和代销机构将根据理财资金所投资资产实际运作情况向投资者分配到期款项。</w:t>
            </w:r>
          </w:p>
        </w:tc>
      </w:tr>
      <w:tr w:rsidR="00A3116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3116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jc w:val="left"/>
            </w:pPr>
            <w:r>
              <w:rPr>
                <w:rFonts w:cs="宋体"/>
                <w:sz w:val="18"/>
                <w:szCs w:val="18"/>
              </w:rPr>
              <w:t>本理财产品募集的资金投资于以下金融资产和金融工具，包括但不限于：</w:t>
            </w:r>
          </w:p>
          <w:p w:rsidR="00A31164" w:rsidRDefault="00E05AE1">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31164" w:rsidRDefault="00E05AE1">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A31164" w:rsidRDefault="00E05AE1">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31164" w:rsidRDefault="00E05AE1">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A31164" w:rsidRDefault="00E05AE1">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31164" w:rsidRDefault="00E05AE1">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3116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31164" w:rsidRDefault="00E05AE1">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3116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A3116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b/>
                <w:sz w:val="18"/>
                <w:szCs w:val="18"/>
              </w:rPr>
              <w:t>本理财产品拟投资以下备选非标准化债权类资产：</w:t>
            </w:r>
          </w:p>
          <w:p w:rsidR="00A31164" w:rsidRDefault="00E05AE1">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A31164" w:rsidRDefault="00E05AE1">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A31164" w:rsidRDefault="00E05AE1">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w:t>
            </w:r>
            <w:r>
              <w:rPr>
                <w:rFonts w:cs="宋体"/>
                <w:sz w:val="18"/>
                <w:szCs w:val="18"/>
              </w:rPr>
              <w:t>理财产品到期日。</w:t>
            </w:r>
          </w:p>
          <w:p w:rsidR="00A31164" w:rsidRDefault="00E05AE1">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A31164" w:rsidRDefault="00E05AE1">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w:t>
            </w:r>
            <w:r>
              <w:rPr>
                <w:rFonts w:cs="宋体"/>
                <w:sz w:val="18"/>
                <w:szCs w:val="18"/>
              </w:rPr>
              <w:t>人消费贷款债权，资产到期日不超过理财产品到期日。</w:t>
            </w:r>
          </w:p>
          <w:p w:rsidR="00A31164" w:rsidRDefault="00E05AE1">
            <w:pPr>
              <w:spacing w:line="200" w:lineRule="exact"/>
            </w:pPr>
            <w:r>
              <w:rPr>
                <w:rFonts w:cs="宋体"/>
                <w:b/>
                <w:sz w:val="18"/>
                <w:szCs w:val="18"/>
              </w:rPr>
              <w:t>以上资产剩余期限均不超过产品期限。</w:t>
            </w:r>
          </w:p>
          <w:p w:rsidR="00A31164" w:rsidRDefault="00E05AE1">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A311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A</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A31164" w:rsidRDefault="00E05AE1">
            <w:pPr>
              <w:spacing w:line="200" w:lineRule="exact"/>
            </w:pPr>
            <w:r>
              <w:rPr>
                <w:rFonts w:cs="宋体"/>
                <w:sz w:val="18"/>
                <w:szCs w:val="18"/>
              </w:rPr>
              <w:t>B</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rsidR="00A31164" w:rsidRDefault="00E05AE1">
            <w:pPr>
              <w:spacing w:line="200" w:lineRule="exact"/>
            </w:pPr>
            <w:r>
              <w:rPr>
                <w:rFonts w:cs="宋体"/>
                <w:sz w:val="18"/>
                <w:szCs w:val="18"/>
              </w:rPr>
              <w:t>C</w:t>
            </w:r>
            <w:r>
              <w:rPr>
                <w:rFonts w:cs="宋体"/>
                <w:sz w:val="18"/>
                <w:szCs w:val="18"/>
              </w:rPr>
              <w:t>份额：业绩比较基准为</w:t>
            </w:r>
            <w:r>
              <w:rPr>
                <w:rFonts w:cs="宋体"/>
                <w:sz w:val="18"/>
                <w:szCs w:val="18"/>
              </w:rPr>
              <w:t>3%(</w:t>
            </w:r>
            <w:r>
              <w:rPr>
                <w:rFonts w:cs="宋体"/>
                <w:sz w:val="18"/>
                <w:szCs w:val="18"/>
              </w:rPr>
              <w:t>年化</w:t>
            </w:r>
            <w:r>
              <w:rPr>
                <w:rFonts w:cs="宋体"/>
                <w:sz w:val="18"/>
                <w:szCs w:val="18"/>
              </w:rPr>
              <w:t>)</w:t>
            </w:r>
            <w:r>
              <w:rPr>
                <w:rFonts w:cs="宋体"/>
                <w:sz w:val="18"/>
                <w:szCs w:val="18"/>
              </w:rPr>
              <w:t>。</w:t>
            </w:r>
          </w:p>
          <w:p w:rsidR="00A31164" w:rsidRDefault="00E05AE1">
            <w:pPr>
              <w:spacing w:line="200" w:lineRule="exact"/>
            </w:pPr>
            <w:r>
              <w:rPr>
                <w:rFonts w:cs="宋体"/>
                <w:sz w:val="18"/>
                <w:szCs w:val="18"/>
              </w:rPr>
              <w:t>本产品不同份额针对不同的销售机构及客群进行销售，设置有不同的销售费和管理费，导致业绩基准测算结果不同。</w:t>
            </w:r>
          </w:p>
          <w:p w:rsidR="00A31164" w:rsidRDefault="00E05AE1">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A31164" w:rsidRDefault="00E05AE1">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A311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31164" w:rsidRDefault="00E05AE1">
            <w:pPr>
              <w:spacing w:line="200" w:lineRule="exact"/>
            </w:pPr>
            <w:r>
              <w:rPr>
                <w:rFonts w:cs="宋体"/>
                <w:b/>
                <w:sz w:val="18"/>
                <w:szCs w:val="18"/>
              </w:rPr>
              <w:t>赎回费：本理财产品暂不收取赎回费。</w:t>
            </w:r>
          </w:p>
          <w:p w:rsidR="00A31164" w:rsidRDefault="00E05AE1">
            <w:pPr>
              <w:spacing w:line="200" w:lineRule="exact"/>
            </w:pPr>
            <w:r>
              <w:rPr>
                <w:rFonts w:cs="宋体"/>
                <w:b/>
                <w:sz w:val="18"/>
                <w:szCs w:val="18"/>
              </w:rPr>
              <w:t>销售费：本理财产品按前一日理财产品资产净值收取销售费，按日计提。</w:t>
            </w:r>
          </w:p>
          <w:p w:rsidR="00A31164" w:rsidRDefault="00E05AE1">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A31164" w:rsidRDefault="00E05AE1">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A31164" w:rsidRDefault="00E05AE1">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A31164" w:rsidRDefault="00E05AE1">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A31164" w:rsidRDefault="00E05AE1">
            <w:pPr>
              <w:spacing w:line="200" w:lineRule="exact"/>
            </w:pPr>
            <w:r>
              <w:rPr>
                <w:rFonts w:cs="宋体"/>
                <w:b/>
                <w:sz w:val="18"/>
                <w:szCs w:val="18"/>
              </w:rPr>
              <w:t>固定管理费：本理财产品按前一日理财产品资产净值收取固定管理费，按日计提。</w:t>
            </w:r>
          </w:p>
          <w:p w:rsidR="00A31164" w:rsidRDefault="00E05AE1">
            <w:pPr>
              <w:spacing w:line="200" w:lineRule="exact"/>
            </w:pPr>
            <w:r>
              <w:rPr>
                <w:rFonts w:cs="宋体"/>
                <w:b/>
                <w:sz w:val="18"/>
                <w:szCs w:val="18"/>
              </w:rPr>
              <w:t>A</w:t>
            </w:r>
            <w:r>
              <w:rPr>
                <w:rFonts w:cs="宋体"/>
                <w:b/>
                <w:sz w:val="18"/>
                <w:szCs w:val="18"/>
              </w:rPr>
              <w:t>份额：固定管理费年化</w:t>
            </w:r>
            <w:r>
              <w:rPr>
                <w:rFonts w:cs="宋体"/>
                <w:b/>
                <w:sz w:val="18"/>
                <w:szCs w:val="18"/>
              </w:rPr>
              <w:t>0.25%</w:t>
            </w:r>
          </w:p>
          <w:p w:rsidR="00A31164" w:rsidRDefault="00E05AE1">
            <w:pPr>
              <w:spacing w:line="200" w:lineRule="exact"/>
            </w:pPr>
            <w:r>
              <w:rPr>
                <w:rFonts w:cs="宋体"/>
                <w:b/>
                <w:sz w:val="18"/>
                <w:szCs w:val="18"/>
              </w:rPr>
              <w:t>B</w:t>
            </w:r>
            <w:r>
              <w:rPr>
                <w:rFonts w:cs="宋体"/>
                <w:b/>
                <w:sz w:val="18"/>
                <w:szCs w:val="18"/>
              </w:rPr>
              <w:t>份额：固定管理费年化</w:t>
            </w:r>
            <w:r>
              <w:rPr>
                <w:rFonts w:cs="宋体"/>
                <w:b/>
                <w:sz w:val="18"/>
                <w:szCs w:val="18"/>
              </w:rPr>
              <w:t>0.2%</w:t>
            </w:r>
          </w:p>
          <w:p w:rsidR="00A31164" w:rsidRDefault="00E05AE1">
            <w:pPr>
              <w:spacing w:line="200" w:lineRule="exact"/>
            </w:pPr>
            <w:r>
              <w:rPr>
                <w:rFonts w:cs="宋体"/>
                <w:b/>
                <w:sz w:val="18"/>
                <w:szCs w:val="18"/>
              </w:rPr>
              <w:t>C</w:t>
            </w:r>
            <w:r>
              <w:rPr>
                <w:rFonts w:cs="宋体"/>
                <w:b/>
                <w:sz w:val="18"/>
                <w:szCs w:val="18"/>
              </w:rPr>
              <w:t>份额：固定管理费年化</w:t>
            </w:r>
            <w:r>
              <w:rPr>
                <w:rFonts w:cs="宋体"/>
                <w:b/>
                <w:sz w:val="18"/>
                <w:szCs w:val="18"/>
              </w:rPr>
              <w:t>0.2%</w:t>
            </w:r>
          </w:p>
          <w:p w:rsidR="00A31164" w:rsidRDefault="00E05AE1">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A31164" w:rsidRDefault="00E05AE1">
            <w:pPr>
              <w:spacing w:line="200" w:lineRule="exact"/>
            </w:pPr>
            <w:r>
              <w:rPr>
                <w:rFonts w:cs="宋体"/>
                <w:b/>
                <w:sz w:val="18"/>
                <w:szCs w:val="18"/>
              </w:rPr>
              <w:t>托管费：</w:t>
            </w:r>
          </w:p>
          <w:p w:rsidR="00A31164" w:rsidRDefault="00E05AE1">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A31164" w:rsidRDefault="00E05AE1">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A31164" w:rsidRDefault="00E05AE1">
            <w:pPr>
              <w:spacing w:line="200" w:lineRule="exact"/>
            </w:pPr>
            <w:r>
              <w:rPr>
                <w:rFonts w:cs="宋体"/>
                <w:b/>
                <w:sz w:val="18"/>
                <w:szCs w:val="18"/>
              </w:rPr>
              <w:t>业绩报酬：</w:t>
            </w:r>
          </w:p>
          <w:p w:rsidR="00A31164" w:rsidRDefault="00E05AE1">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31164" w:rsidRDefault="00E05AE1">
            <w:pPr>
              <w:spacing w:line="200" w:lineRule="exact"/>
            </w:pPr>
            <w:r>
              <w:rPr>
                <w:rFonts w:cs="宋体"/>
                <w:b/>
                <w:sz w:val="18"/>
                <w:szCs w:val="18"/>
              </w:rPr>
              <w:t>B</w:t>
            </w:r>
            <w:r>
              <w:rPr>
                <w:rFonts w:cs="宋体"/>
                <w:b/>
                <w:sz w:val="18"/>
                <w:szCs w:val="18"/>
              </w:rPr>
              <w:t>份额：到期兑付时，当期产品投资的实际资产组合收益（扣</w:t>
            </w:r>
            <w:r>
              <w:rPr>
                <w:rFonts w:cs="宋体"/>
                <w:b/>
                <w:sz w:val="18"/>
                <w:szCs w:val="18"/>
              </w:rPr>
              <w:t>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31164" w:rsidRDefault="00E05AE1">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31164" w:rsidRDefault="00E05AE1">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w:t>
            </w:r>
            <w:r>
              <w:rPr>
                <w:rFonts w:cs="宋体"/>
                <w:b/>
                <w:sz w:val="18"/>
                <w:szCs w:val="18"/>
              </w:rPr>
              <w:t>认或产品实际到期时计提核算的数值为准。暂估业绩报酬不影响产品的实际收益。</w:t>
            </w:r>
          </w:p>
          <w:p w:rsidR="00A31164" w:rsidRDefault="00E05AE1">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31164" w:rsidRDefault="00E05AE1">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w:t>
            </w:r>
            <w:r>
              <w:rPr>
                <w:rFonts w:cs="宋体"/>
                <w:b/>
                <w:sz w:val="18"/>
                <w:szCs w:val="18"/>
              </w:rPr>
              <w:t>每日计提暂估的业绩报酬（如有）。</w:t>
            </w:r>
          </w:p>
          <w:p w:rsidR="00A31164" w:rsidRDefault="00E05AE1">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A31164" w:rsidRDefault="00E05AE1">
            <w:pPr>
              <w:spacing w:line="200" w:lineRule="exact"/>
            </w:pPr>
            <w:r>
              <w:rPr>
                <w:rFonts w:cs="宋体"/>
                <w:b/>
                <w:sz w:val="18"/>
                <w:szCs w:val="18"/>
              </w:rPr>
              <w:t>计算本区间业绩报酬的公式如下：</w:t>
            </w:r>
          </w:p>
          <w:p w:rsidR="00A31164" w:rsidRDefault="00E05AE1">
            <w:pPr>
              <w:spacing w:line="200" w:lineRule="exact"/>
            </w:pPr>
            <w:r>
              <w:rPr>
                <w:rFonts w:cs="宋体"/>
                <w:b/>
                <w:sz w:val="18"/>
                <w:szCs w:val="18"/>
              </w:rPr>
              <w:t>A={B-C*D*(1+E*F/365)}*G</w:t>
            </w:r>
            <w:r>
              <w:rPr>
                <w:rFonts w:cs="宋体"/>
                <w:b/>
                <w:sz w:val="18"/>
                <w:szCs w:val="18"/>
              </w:rPr>
              <w:t>。</w:t>
            </w:r>
          </w:p>
          <w:p w:rsidR="00A31164" w:rsidRDefault="00E05AE1">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w:t>
            </w:r>
            <w:r>
              <w:rPr>
                <w:rFonts w:cs="宋体"/>
                <w:b/>
                <w:sz w:val="18"/>
                <w:szCs w:val="18"/>
              </w:rPr>
              <w:t>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A3116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具体详见本理财产品风险揭示书。</w:t>
            </w:r>
          </w:p>
        </w:tc>
      </w:tr>
      <w:tr w:rsidR="00A3116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31164" w:rsidRDefault="00E05AE1">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31164" w:rsidRDefault="00E05AE1">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31164" w:rsidRDefault="00E05AE1">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31164" w:rsidRDefault="00E05AE1">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31164" w:rsidRDefault="00E05AE1">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31164" w:rsidRDefault="00E05AE1">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31164" w:rsidRDefault="00E05AE1">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311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jc w:val="left"/>
            </w:pPr>
            <w:r>
              <w:rPr>
                <w:rFonts w:cs="宋体"/>
                <w:sz w:val="18"/>
                <w:szCs w:val="18"/>
              </w:rPr>
              <w:t>本理财产品销售机构为南银理财有限责任公司、南京银行股份有限公司、江苏太仓农村商业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w:t>
            </w:r>
            <w:r>
              <w:rPr>
                <w:rFonts w:cs="宋体"/>
                <w:sz w:val="18"/>
                <w:szCs w:val="18"/>
              </w:rPr>
              <w:t>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w:t>
            </w:r>
            <w:r>
              <w:rPr>
                <w:rFonts w:cs="宋体"/>
                <w:sz w:val="18"/>
                <w:szCs w:val="18"/>
              </w:rPr>
              <w:t>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w:t>
            </w:r>
            <w:r>
              <w:rPr>
                <w:rFonts w:cs="宋体"/>
                <w:sz w:val="18"/>
                <w:szCs w:val="18"/>
              </w:rPr>
              <w:t>份有限公司、江苏泗阳农村商业银行股份有限公司、江苏张家港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甘肃银行股份有限公司、江苏仪征农村商业银行股份有限公司、连云港东方农村商业银行股份有限公司。管理人有权调整本理财产品的销售机构并进行信息披露。</w:t>
            </w:r>
          </w:p>
          <w:p w:rsidR="00A31164" w:rsidRDefault="00E05AE1">
            <w:pPr>
              <w:spacing w:line="200" w:lineRule="exact"/>
              <w:jc w:val="left"/>
            </w:pPr>
            <w:r>
              <w:rPr>
                <w:rFonts w:cs="宋体"/>
                <w:sz w:val="18"/>
                <w:szCs w:val="18"/>
              </w:rPr>
              <w:t>销售机</w:t>
            </w:r>
            <w:r>
              <w:rPr>
                <w:rFonts w:cs="宋体"/>
                <w:sz w:val="18"/>
                <w:szCs w:val="18"/>
              </w:rPr>
              <w:t>构主要职责如下：</w:t>
            </w:r>
          </w:p>
          <w:p w:rsidR="00A31164" w:rsidRDefault="00E05AE1">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31164" w:rsidRDefault="00E05AE1">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A31164" w:rsidRDefault="00E05AE1">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31164" w:rsidRDefault="00E05AE1">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31164" w:rsidRDefault="00E05AE1">
            <w:pPr>
              <w:spacing w:line="200" w:lineRule="exact"/>
              <w:jc w:val="left"/>
            </w:pPr>
            <w:r>
              <w:rPr>
                <w:rFonts w:cs="宋体"/>
                <w:sz w:val="18"/>
                <w:szCs w:val="18"/>
              </w:rPr>
              <w:t>5.</w:t>
            </w:r>
            <w:r>
              <w:rPr>
                <w:rFonts w:cs="宋体"/>
                <w:sz w:val="18"/>
                <w:szCs w:val="18"/>
              </w:rPr>
              <w:t>建立健全投资者权益保护管理体系，加强投资者适当性管理；</w:t>
            </w:r>
          </w:p>
          <w:p w:rsidR="00A31164" w:rsidRDefault="00E05AE1">
            <w:pPr>
              <w:spacing w:line="200" w:lineRule="exact"/>
            </w:pPr>
            <w:r>
              <w:rPr>
                <w:rFonts w:cs="宋体"/>
                <w:sz w:val="18"/>
                <w:szCs w:val="18"/>
              </w:rPr>
              <w:t>6.</w:t>
            </w:r>
            <w:r>
              <w:rPr>
                <w:rFonts w:cs="宋体"/>
                <w:sz w:val="18"/>
                <w:szCs w:val="18"/>
              </w:rPr>
              <w:t>国务院银行业监督管理机构规定及本理财产品管理人与销售机构约定的其他职责</w:t>
            </w:r>
            <w:r>
              <w:rPr>
                <w:rFonts w:cs="宋体"/>
                <w:sz w:val="18"/>
                <w:szCs w:val="18"/>
              </w:rPr>
              <w:t>。</w:t>
            </w:r>
          </w:p>
        </w:tc>
      </w:tr>
      <w:tr w:rsidR="00A3116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本理财产品托管人为南京银行股份有限公司，主要职责如下：</w:t>
            </w:r>
          </w:p>
          <w:p w:rsidR="00A31164" w:rsidRDefault="00E05AE1">
            <w:pPr>
              <w:spacing w:line="200" w:lineRule="exact"/>
            </w:pPr>
            <w:r>
              <w:rPr>
                <w:rFonts w:cs="宋体"/>
                <w:sz w:val="18"/>
                <w:szCs w:val="18"/>
              </w:rPr>
              <w:t>1.</w:t>
            </w:r>
            <w:r>
              <w:rPr>
                <w:rFonts w:cs="宋体"/>
                <w:sz w:val="18"/>
                <w:szCs w:val="18"/>
              </w:rPr>
              <w:t>安全保管理财产品财产；</w:t>
            </w:r>
          </w:p>
          <w:p w:rsidR="00A31164" w:rsidRDefault="00E05AE1">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31164" w:rsidRDefault="00E05AE1">
            <w:pPr>
              <w:spacing w:line="200" w:lineRule="exact"/>
            </w:pPr>
            <w:r>
              <w:rPr>
                <w:rFonts w:cs="宋体"/>
                <w:sz w:val="18"/>
                <w:szCs w:val="18"/>
              </w:rPr>
              <w:t>3.</w:t>
            </w:r>
            <w:r>
              <w:rPr>
                <w:rFonts w:cs="宋体"/>
                <w:sz w:val="18"/>
                <w:szCs w:val="18"/>
              </w:rPr>
              <w:t>按照托管协议约定和管理人的投资指令，及时办理清算、交割事宜；</w:t>
            </w:r>
          </w:p>
          <w:p w:rsidR="00A31164" w:rsidRDefault="00E05AE1">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31164" w:rsidRDefault="00E05AE1">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31164" w:rsidRDefault="00E05AE1">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31164" w:rsidRDefault="00E05AE1">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31164" w:rsidRDefault="00E05AE1">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A31164" w:rsidRDefault="00E05AE1">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3116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天津信托有限责任公司、中国对外经济贸易信托有限公司、中信信托有限责任公司、鑫元基金管理有限公司，上述投资合作机构主要职责对应如下，具体职责以管理人与</w:t>
            </w:r>
            <w:r>
              <w:rPr>
                <w:rFonts w:cs="宋体"/>
                <w:sz w:val="18"/>
                <w:szCs w:val="18"/>
              </w:rPr>
              <w:t>投资合作机构签署的合同为准。</w:t>
            </w:r>
          </w:p>
          <w:p w:rsidR="00A31164" w:rsidRDefault="00E05AE1">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A31164" w:rsidRDefault="00E05AE1">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天津信托有限责任公司、中国对外经济贸易信托有限公司、中信信托有限责任公司、鑫元基金管理有限公司。</w:t>
            </w:r>
          </w:p>
          <w:p w:rsidR="00A31164" w:rsidRDefault="00E05AE1">
            <w:pPr>
              <w:spacing w:line="200" w:lineRule="exact"/>
            </w:pPr>
            <w:r>
              <w:rPr>
                <w:rFonts w:cs="宋体"/>
                <w:sz w:val="18"/>
                <w:szCs w:val="18"/>
              </w:rPr>
              <w:t>若上述合作机构及其职责发生调整，管理人将在本理财产品的定期</w:t>
            </w:r>
            <w:r>
              <w:rPr>
                <w:rFonts w:cs="宋体"/>
                <w:sz w:val="18"/>
                <w:szCs w:val="18"/>
              </w:rPr>
              <w:t>报告中进行信息披露。</w:t>
            </w:r>
          </w:p>
          <w:p w:rsidR="00A31164" w:rsidRDefault="00E05AE1">
            <w:pPr>
              <w:spacing w:line="200" w:lineRule="exact"/>
            </w:pPr>
            <w:r>
              <w:rPr>
                <w:rFonts w:cs="宋体"/>
                <w:sz w:val="18"/>
                <w:szCs w:val="18"/>
              </w:rPr>
              <w:t>上述投资合作机构简介：</w:t>
            </w:r>
          </w:p>
          <w:p w:rsidR="00A31164" w:rsidRDefault="00E05AE1">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31164" w:rsidRDefault="00E05AE1">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A31164" w:rsidRDefault="00E05AE1">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31164" w:rsidRDefault="00E05AE1">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31164" w:rsidRDefault="00E05AE1">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A31164" w:rsidRDefault="00E05AE1">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A31164" w:rsidRDefault="00E05AE1">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A31164" w:rsidRDefault="00E05AE1">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31164" w:rsidRDefault="00E05AE1">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31164" w:rsidRDefault="00E05AE1">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31164" w:rsidRDefault="00E05AE1">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31164" w:rsidRDefault="00E05AE1">
            <w:pPr>
              <w:spacing w:line="200" w:lineRule="exact"/>
            </w:pPr>
            <w:r>
              <w:rPr>
                <w:rFonts w:cs="宋体"/>
                <w:sz w:val="18"/>
                <w:szCs w:val="18"/>
              </w:rPr>
              <w:t>平安资产管理有限</w:t>
            </w:r>
            <w:r>
              <w:rPr>
                <w:rFonts w:cs="宋体"/>
                <w:sz w:val="18"/>
                <w:szCs w:val="18"/>
              </w:rPr>
              <w:t>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A31164" w:rsidRDefault="00E05AE1">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A31164" w:rsidRDefault="00E05AE1">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A31164" w:rsidRDefault="00E05AE1">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A31164" w:rsidRDefault="00E05AE1">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A31164" w:rsidRDefault="00E05AE1">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A31164" w:rsidRDefault="00E05AE1">
            <w:pPr>
              <w:spacing w:line="200" w:lineRule="exact"/>
            </w:pPr>
            <w:r>
              <w:rPr>
                <w:rFonts w:cs="宋体"/>
                <w:sz w:val="18"/>
                <w:szCs w:val="18"/>
              </w:rPr>
              <w:t>鑫元基金管理有限公司成立于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3116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A31164" w:rsidRDefault="00E05AE1">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31164" w:rsidRDefault="00E05AE1">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31164" w:rsidRDefault="00E05AE1">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3116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31164" w:rsidRDefault="00E05AE1">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31164" w:rsidRDefault="00E05AE1">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31164" w:rsidRDefault="00E05AE1">
      <w:pPr>
        <w:pStyle w:val="Normal4422849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31164" w:rsidRDefault="00E05AE1">
      <w:pPr>
        <w:pStyle w:val="Normalfa803f09fa803f0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31164" w:rsidRDefault="00E05AE1">
      <w:pPr>
        <w:pStyle w:val="Normalfa803f09fa803f0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31164" w:rsidRDefault="00E05AE1">
      <w:pPr>
        <w:pStyle w:val="Normalfa803f09fa803f0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31164" w:rsidRDefault="00E05AE1">
      <w:pPr>
        <w:pStyle w:val="Normalfa803f09fa803f0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31164" w:rsidRDefault="00E05AE1">
      <w:pPr>
        <w:pStyle w:val="Normalfa803f09fa803f0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31164" w:rsidRDefault="00E05AE1">
      <w:pPr>
        <w:pStyle w:val="Normalfa803f09fa803f0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31164" w:rsidRDefault="00E05AE1">
      <w:pPr>
        <w:pStyle w:val="Normalfa803f09fa803f0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31164" w:rsidRDefault="00E05AE1">
      <w:pPr>
        <w:pStyle w:val="Normalfa803f09fa803f0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120</w:t>
      </w:r>
      <w:r>
        <w:rPr>
          <w:b/>
          <w:bCs/>
          <w:color w:val="3D3D3D"/>
          <w:kern w:val="0"/>
          <w:sz w:val="15"/>
          <w:szCs w:val="15"/>
        </w:rPr>
        <w:t>期封闭式公募人民币理财产品</w:t>
      </w:r>
      <w:r>
        <w:rPr>
          <w:rFonts w:hint="eastAsia"/>
          <w:color w:val="3D3D3D"/>
          <w:kern w:val="0"/>
          <w:sz w:val="15"/>
          <w:szCs w:val="15"/>
        </w:rPr>
        <w:t>。</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31164" w:rsidRDefault="00E05AE1">
      <w:pPr>
        <w:pStyle w:val="Normalfa803f09fa803f0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A31164" w:rsidRDefault="00E05AE1">
      <w:pPr>
        <w:pStyle w:val="Normalfa803f09fa803f0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31164" w:rsidRDefault="00E05AE1">
      <w:pPr>
        <w:pStyle w:val="Normalfa803f09fa803f0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31164" w:rsidRDefault="00E05AE1">
      <w:pPr>
        <w:pStyle w:val="Normalfa803f09fa803f0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A31164" w:rsidRDefault="00E05AE1">
      <w:pPr>
        <w:pStyle w:val="15d38c0975d38c0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31164" w:rsidRDefault="00E05AE1">
      <w:pPr>
        <w:pStyle w:val="15d38c0975d38c0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31164" w:rsidRDefault="00E05AE1">
      <w:pPr>
        <w:pStyle w:val="15d38c0975d38c0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31164" w:rsidRDefault="00E05AE1">
      <w:pPr>
        <w:pStyle w:val="15d38c0975d38c0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31164" w:rsidRDefault="00E05AE1">
      <w:pPr>
        <w:pStyle w:val="15d38c0975d38c0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31164" w:rsidRDefault="00E05AE1">
      <w:pPr>
        <w:pStyle w:val="15d38c0975d38c0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31164" w:rsidRDefault="00E05AE1">
      <w:pPr>
        <w:pStyle w:val="Normalfa803f09fa803f0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31164" w:rsidRDefault="00E05AE1">
      <w:pPr>
        <w:pStyle w:val="Normalfa803f09fa803f0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31164" w:rsidRDefault="00E05AE1">
      <w:pPr>
        <w:pStyle w:val="Normalfa803f09fa803f0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31164" w:rsidRDefault="00E05AE1">
      <w:pPr>
        <w:pStyle w:val="Normal4422849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31164" w:rsidRDefault="00E05AE1">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31164" w:rsidRDefault="00E05AE1">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31164" w:rsidRDefault="00E05AE1">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31164" w:rsidRDefault="00E05AE1">
      <w:pPr>
        <w:pStyle w:val="Normal44228490"/>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A31164" w:rsidRDefault="00E05AE1">
      <w:pPr>
        <w:pStyle w:val="Normal44228490"/>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A31164" w:rsidRDefault="00E05AE1">
      <w:pPr>
        <w:pStyle w:val="Normal4422849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31164" w:rsidRDefault="00E05AE1">
      <w:pPr>
        <w:spacing w:line="200" w:lineRule="exact"/>
        <w:ind w:firstLine="300"/>
      </w:pPr>
      <w:r>
        <w:rPr>
          <w:rFonts w:cs="宋体"/>
          <w:sz w:val="15"/>
          <w:szCs w:val="20"/>
        </w:rPr>
        <w:t>（一）估值日</w:t>
      </w:r>
    </w:p>
    <w:p w:rsidR="00A31164" w:rsidRDefault="00E05AE1">
      <w:pPr>
        <w:spacing w:line="200" w:lineRule="exact"/>
        <w:ind w:firstLine="300"/>
      </w:pPr>
      <w:r>
        <w:rPr>
          <w:rFonts w:cs="宋体"/>
          <w:sz w:val="15"/>
          <w:szCs w:val="20"/>
        </w:rPr>
        <w:t>本理财产品每个工作日进行估值。</w:t>
      </w:r>
    </w:p>
    <w:p w:rsidR="00A31164" w:rsidRDefault="00E05AE1">
      <w:pPr>
        <w:spacing w:line="200" w:lineRule="exact"/>
        <w:ind w:firstLine="300"/>
      </w:pPr>
      <w:r>
        <w:rPr>
          <w:rFonts w:cs="宋体"/>
          <w:sz w:val="15"/>
          <w:szCs w:val="20"/>
        </w:rPr>
        <w:t>（二）估值对象</w:t>
      </w:r>
    </w:p>
    <w:p w:rsidR="00A31164" w:rsidRDefault="00E05AE1">
      <w:pPr>
        <w:spacing w:line="200" w:lineRule="exact"/>
        <w:ind w:firstLine="300"/>
      </w:pPr>
      <w:r>
        <w:rPr>
          <w:rFonts w:cs="宋体"/>
          <w:sz w:val="15"/>
          <w:szCs w:val="20"/>
        </w:rPr>
        <w:t>本理财产品所拥有的所有资产及负债。</w:t>
      </w:r>
    </w:p>
    <w:p w:rsidR="00A31164" w:rsidRDefault="00E05AE1">
      <w:pPr>
        <w:spacing w:line="200" w:lineRule="exact"/>
        <w:ind w:firstLine="300"/>
      </w:pPr>
      <w:r>
        <w:rPr>
          <w:rFonts w:cs="宋体"/>
          <w:sz w:val="15"/>
          <w:szCs w:val="20"/>
        </w:rPr>
        <w:t>（三）估值目的</w:t>
      </w:r>
    </w:p>
    <w:p w:rsidR="00A31164" w:rsidRDefault="00E05AE1">
      <w:pPr>
        <w:spacing w:line="200" w:lineRule="exact"/>
        <w:ind w:firstLine="300"/>
      </w:pPr>
      <w:r>
        <w:rPr>
          <w:rFonts w:cs="宋体"/>
          <w:sz w:val="15"/>
          <w:szCs w:val="20"/>
        </w:rPr>
        <w:t>客观、准确反映理财产品的价值。</w:t>
      </w:r>
    </w:p>
    <w:p w:rsidR="00A31164" w:rsidRDefault="00E05AE1">
      <w:pPr>
        <w:spacing w:line="200" w:lineRule="exact"/>
        <w:ind w:firstLine="300"/>
      </w:pPr>
      <w:r>
        <w:rPr>
          <w:rFonts w:cs="宋体"/>
          <w:sz w:val="15"/>
          <w:szCs w:val="20"/>
        </w:rPr>
        <w:t>（四）估值原则</w:t>
      </w:r>
    </w:p>
    <w:p w:rsidR="00A31164" w:rsidRDefault="00E05AE1">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A31164" w:rsidRDefault="00E05AE1">
      <w:pPr>
        <w:spacing w:line="200" w:lineRule="exact"/>
        <w:ind w:firstLine="300"/>
      </w:pPr>
      <w:r>
        <w:rPr>
          <w:rFonts w:cs="宋体"/>
          <w:sz w:val="15"/>
          <w:szCs w:val="20"/>
        </w:rPr>
        <w:t>（五）估值方法</w:t>
      </w:r>
    </w:p>
    <w:p w:rsidR="00A31164" w:rsidRDefault="00E05AE1">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A31164" w:rsidRDefault="00E05AE1">
      <w:pPr>
        <w:spacing w:line="200" w:lineRule="exact"/>
        <w:ind w:firstLine="440"/>
      </w:pPr>
      <w:r>
        <w:rPr>
          <w:rFonts w:cs="宋体"/>
          <w:sz w:val="18"/>
          <w:szCs w:val="20"/>
        </w:rPr>
        <w:t>1.</w:t>
      </w:r>
      <w:r>
        <w:rPr>
          <w:rFonts w:cs="宋体"/>
          <w:sz w:val="18"/>
          <w:szCs w:val="20"/>
        </w:rPr>
        <w:t>银行存款、回购等货币市场工具</w:t>
      </w:r>
    </w:p>
    <w:p w:rsidR="00A31164" w:rsidRDefault="00E05AE1">
      <w:pPr>
        <w:spacing w:line="200" w:lineRule="exact"/>
        <w:ind w:firstLine="440"/>
      </w:pPr>
      <w:r>
        <w:rPr>
          <w:rFonts w:cs="宋体"/>
          <w:sz w:val="18"/>
          <w:szCs w:val="20"/>
        </w:rPr>
        <w:t>以本金列示，逐日计提利息。</w:t>
      </w:r>
    </w:p>
    <w:p w:rsidR="00A31164" w:rsidRDefault="00E05AE1">
      <w:pPr>
        <w:spacing w:line="200" w:lineRule="exact"/>
        <w:ind w:firstLine="440"/>
      </w:pPr>
      <w:r>
        <w:rPr>
          <w:rFonts w:cs="宋体"/>
          <w:sz w:val="18"/>
          <w:szCs w:val="20"/>
        </w:rPr>
        <w:t>2.</w:t>
      </w:r>
      <w:r>
        <w:rPr>
          <w:rFonts w:cs="宋体"/>
          <w:sz w:val="18"/>
          <w:szCs w:val="20"/>
        </w:rPr>
        <w:t>债券类资产</w:t>
      </w:r>
    </w:p>
    <w:p w:rsidR="00A31164" w:rsidRDefault="00E05AE1">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A31164" w:rsidRDefault="00E05AE1">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A31164" w:rsidRDefault="00E05AE1">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A31164" w:rsidRDefault="00E05AE1">
      <w:pPr>
        <w:spacing w:line="200" w:lineRule="exact"/>
        <w:ind w:firstLine="440"/>
      </w:pPr>
      <w:r>
        <w:rPr>
          <w:rFonts w:cs="宋体"/>
          <w:sz w:val="18"/>
          <w:szCs w:val="20"/>
        </w:rPr>
        <w:t>4.</w:t>
      </w:r>
      <w:r>
        <w:rPr>
          <w:rFonts w:cs="宋体"/>
          <w:sz w:val="18"/>
          <w:szCs w:val="20"/>
        </w:rPr>
        <w:t>证券投资基金、资管计划、信托计划等资产</w:t>
      </w:r>
    </w:p>
    <w:p w:rsidR="00A31164" w:rsidRDefault="00E05AE1">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A31164" w:rsidRDefault="00E05AE1">
      <w:pPr>
        <w:spacing w:line="200" w:lineRule="exact"/>
        <w:ind w:firstLine="440"/>
      </w:pPr>
      <w:r>
        <w:rPr>
          <w:rFonts w:cs="宋体"/>
          <w:sz w:val="18"/>
          <w:szCs w:val="20"/>
        </w:rPr>
        <w:t>5.</w:t>
      </w:r>
      <w:r>
        <w:rPr>
          <w:rFonts w:cs="宋体"/>
          <w:sz w:val="18"/>
          <w:szCs w:val="20"/>
        </w:rPr>
        <w:t>股权类及其他资产</w:t>
      </w:r>
    </w:p>
    <w:p w:rsidR="00A31164" w:rsidRDefault="00E05AE1">
      <w:pPr>
        <w:spacing w:line="200" w:lineRule="exact"/>
        <w:ind w:firstLine="440"/>
      </w:pPr>
      <w:r>
        <w:rPr>
          <w:rFonts w:cs="宋体"/>
          <w:sz w:val="18"/>
          <w:szCs w:val="20"/>
        </w:rPr>
        <w:t>按照公允价值估值，优先采用市值法估值。</w:t>
      </w:r>
    </w:p>
    <w:p w:rsidR="00A31164" w:rsidRDefault="00E05AE1">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A31164" w:rsidRDefault="00E05AE1">
      <w:pPr>
        <w:spacing w:line="200" w:lineRule="exact"/>
        <w:ind w:firstLine="300"/>
      </w:pPr>
      <w:r>
        <w:rPr>
          <w:rFonts w:cs="宋体"/>
          <w:sz w:val="15"/>
          <w:szCs w:val="20"/>
        </w:rPr>
        <w:t>（六）估值错误及暂停估值</w:t>
      </w:r>
    </w:p>
    <w:p w:rsidR="00A31164" w:rsidRDefault="00E05AE1">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A31164" w:rsidRDefault="00E05AE1">
      <w:pPr>
        <w:pStyle w:val="Normal4422849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31164" w:rsidRDefault="00E05AE1">
      <w:pPr>
        <w:pStyle w:val="Normal4422849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31164" w:rsidRDefault="00E05AE1">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31164" w:rsidRDefault="00E05AE1">
      <w:pPr>
        <w:pStyle w:val="Normal4422849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31164" w:rsidRDefault="00E05AE1">
      <w:pPr>
        <w:pStyle w:val="Normal4422849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31164" w:rsidRDefault="00E05AE1">
      <w:pPr>
        <w:pStyle w:val="Normal4422849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31164" w:rsidRDefault="00E05AE1">
      <w:pPr>
        <w:pStyle w:val="Normal442284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31164" w:rsidRDefault="00E05AE1">
      <w:pPr>
        <w:pStyle w:val="Normal44228490"/>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31164" w:rsidRDefault="00E05AE1">
      <w:pPr>
        <w:pStyle w:val="Normal442284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31164" w:rsidRDefault="00E05AE1">
      <w:pPr>
        <w:pStyle w:val="Normal4422849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31164" w:rsidRDefault="00E05AE1">
      <w:pPr>
        <w:pStyle w:val="Normal442284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31164" w:rsidRDefault="00E05AE1">
      <w:pPr>
        <w:pStyle w:val="Normal4422849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31164" w:rsidRDefault="00E05AE1">
      <w:pPr>
        <w:pStyle w:val="Normal442284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31164" w:rsidRDefault="00E05AE1">
      <w:pPr>
        <w:pStyle w:val="Normal4422849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31164" w:rsidRDefault="00E05AE1">
      <w:pPr>
        <w:pStyle w:val="Normal442284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31164" w:rsidRDefault="00E05AE1">
      <w:pPr>
        <w:pStyle w:val="Normal4422849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31164" w:rsidRDefault="00E05AE1">
      <w:pPr>
        <w:pStyle w:val="Normal442284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31164" w:rsidRDefault="00E05AE1">
      <w:pPr>
        <w:pStyle w:val="Normal4422849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A31164" w:rsidRDefault="00E05AE1">
      <w:pPr>
        <w:pStyle w:val="Normal442284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31164" w:rsidRDefault="00E05AE1">
      <w:pPr>
        <w:pStyle w:val="Normal44228490"/>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31164" w:rsidRDefault="00E05AE1">
      <w:pPr>
        <w:pStyle w:val="Normal44228490"/>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31164" w:rsidRDefault="00E05AE1">
      <w:pPr>
        <w:pStyle w:val="Normal4422849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A31164" w:rsidRDefault="00E05AE1">
      <w:pPr>
        <w:pStyle w:val="Normal4422849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A31164" w:rsidRDefault="00E05AE1">
      <w:pPr>
        <w:pStyle w:val="Normal4422849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31164" w:rsidRDefault="00E05AE1">
      <w:pPr>
        <w:pStyle w:val="Normal4422849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31164" w:rsidRDefault="00E05AE1">
      <w:pPr>
        <w:pStyle w:val="Normal4422849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31164" w:rsidRDefault="00E05AE1">
      <w:pPr>
        <w:pStyle w:val="Normal4422849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A31164" w:rsidRDefault="00E05AE1">
      <w:pPr>
        <w:pStyle w:val="Normal4422849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A31164" w:rsidRDefault="00E05AE1">
      <w:pPr>
        <w:pStyle w:val="Normal4422849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31164" w:rsidRDefault="00E05AE1">
      <w:pPr>
        <w:pStyle w:val="Normal4422849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31164" w:rsidRDefault="00E05AE1">
      <w:pPr>
        <w:pStyle w:val="Normal4422849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31164" w:rsidRDefault="00E05AE1">
      <w:pPr>
        <w:pStyle w:val="Normal4422849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31164" w:rsidRDefault="00E05AE1">
      <w:pPr>
        <w:pStyle w:val="Normal44228490"/>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31164" w:rsidRDefault="00E05AE1">
      <w:pPr>
        <w:pStyle w:val="Normal44228490"/>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31164" w:rsidRDefault="00E05AE1">
      <w:pPr>
        <w:pStyle w:val="Normal44228490"/>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31164" w:rsidRDefault="00A31164">
      <w:pPr>
        <w:pStyle w:val="Normal44228490"/>
        <w:widowControl/>
        <w:rPr>
          <w:b/>
          <w:bCs/>
          <w:color w:val="3D3D3D"/>
          <w:kern w:val="0"/>
          <w:sz w:val="15"/>
          <w:szCs w:val="15"/>
        </w:rPr>
      </w:pPr>
    </w:p>
    <w:p w:rsidR="00A31164" w:rsidRDefault="00E05AE1">
      <w:pPr>
        <w:pStyle w:val="Normal44228490"/>
        <w:widowControl/>
        <w:rPr>
          <w:b/>
          <w:bCs/>
          <w:color w:val="3D3D3D"/>
          <w:kern w:val="0"/>
          <w:sz w:val="15"/>
          <w:szCs w:val="15"/>
        </w:rPr>
      </w:pPr>
      <w:r>
        <w:rPr>
          <w:rFonts w:hint="eastAsia"/>
          <w:b/>
          <w:bCs/>
          <w:color w:val="3D3D3D"/>
          <w:kern w:val="0"/>
          <w:sz w:val="15"/>
          <w:szCs w:val="15"/>
        </w:rPr>
        <w:t>风险提示：</w:t>
      </w:r>
    </w:p>
    <w:p w:rsidR="00A31164" w:rsidRDefault="00E05AE1">
      <w:pPr>
        <w:pStyle w:val="Normal44228490"/>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00000" w:rsidRDefault="004528A9">
      <w:pPr>
        <w:spacing w:line="0" w:lineRule="atLeast"/>
        <w:jc w:val="center"/>
        <w:rPr>
          <w:rFonts w:ascii="Times New Roman" w:eastAsia="黑体" w:hAnsi="Times New Roman"/>
          <w:b/>
          <w:bCs/>
          <w:sz w:val="24"/>
          <w:szCs w:val="15"/>
        </w:rPr>
      </w:pPr>
      <w:bookmarkStart w:id="1" w:name="_GoBack"/>
      <w:bookmarkEnd w:id="1"/>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4528A9">
      <w:pPr>
        <w:tabs>
          <w:tab w:val="left" w:pos="0"/>
        </w:tabs>
        <w:jc w:val="center"/>
        <w:rPr>
          <w:rFonts w:ascii="Times New Roman" w:hAnsi="Times New Roman"/>
          <w:szCs w:val="21"/>
        </w:rPr>
      </w:pPr>
    </w:p>
    <w:p w:rsidR="00000000" w:rsidRDefault="004528A9">
      <w:pPr>
        <w:tabs>
          <w:tab w:val="left" w:pos="0"/>
        </w:tabs>
        <w:jc w:val="center"/>
        <w:rPr>
          <w:rFonts w:ascii="Times New Roman" w:hAnsi="Times New Roman"/>
          <w:szCs w:val="21"/>
        </w:rPr>
      </w:pPr>
    </w:p>
    <w:p w:rsidR="00000000" w:rsidRDefault="004528A9">
      <w:pPr>
        <w:tabs>
          <w:tab w:val="left" w:pos="0"/>
        </w:tabs>
        <w:jc w:val="center"/>
        <w:rPr>
          <w:rFonts w:ascii="Times New Roman" w:hAnsi="Times New Roman"/>
          <w:szCs w:val="21"/>
        </w:rPr>
      </w:pPr>
    </w:p>
    <w:p w:rsidR="00000000" w:rsidRDefault="004528A9">
      <w:pPr>
        <w:tabs>
          <w:tab w:val="left" w:pos="0"/>
        </w:tabs>
        <w:jc w:val="center"/>
        <w:rPr>
          <w:rFonts w:ascii="Times New Roman" w:hAnsi="Times New Roman"/>
          <w:szCs w:val="21"/>
        </w:rPr>
      </w:pPr>
    </w:p>
    <w:p w:rsidR="00000000" w:rsidRDefault="004528A9">
      <w:pPr>
        <w:tabs>
          <w:tab w:val="left" w:pos="0"/>
        </w:tabs>
        <w:jc w:val="center"/>
        <w:rPr>
          <w:rFonts w:ascii="Times New Roman" w:hAnsi="Times New Roman"/>
          <w:szCs w:val="21"/>
        </w:rPr>
      </w:pPr>
    </w:p>
    <w:p w:rsidR="00000000" w:rsidRDefault="004528A9">
      <w:pPr>
        <w:tabs>
          <w:tab w:val="left" w:pos="0"/>
        </w:tabs>
        <w:jc w:val="center"/>
        <w:rPr>
          <w:rFonts w:ascii="Times New Roman" w:hAnsi="Times New Roman"/>
          <w:szCs w:val="21"/>
        </w:rPr>
      </w:pPr>
    </w:p>
    <w:p w:rsidR="00000000" w:rsidRDefault="004528A9">
      <w:pPr>
        <w:tabs>
          <w:tab w:val="left" w:pos="0"/>
        </w:tabs>
        <w:jc w:val="center"/>
        <w:rPr>
          <w:rFonts w:ascii="Times New Roman" w:hAnsi="Times New Roman"/>
          <w:szCs w:val="21"/>
        </w:rPr>
      </w:pPr>
    </w:p>
    <w:p w:rsidR="00000000" w:rsidRDefault="004528A9">
      <w:pPr>
        <w:tabs>
          <w:tab w:val="left" w:pos="0"/>
        </w:tabs>
        <w:jc w:val="center"/>
        <w:rPr>
          <w:rFonts w:ascii="Times New Roman" w:hAnsi="Times New Roman"/>
          <w:szCs w:val="21"/>
        </w:rPr>
      </w:pPr>
    </w:p>
    <w:p w:rsidR="00000000" w:rsidRDefault="004528A9">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000000" w:rsidRDefault="004528A9">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000000" w:rsidRDefault="004528A9">
      <w:pPr>
        <w:adjustRightInd w:val="0"/>
        <w:snapToGrid w:val="0"/>
        <w:spacing w:line="0" w:lineRule="atLeast"/>
        <w:rPr>
          <w:rFonts w:ascii="Times New Roman" w:hAnsi="Times New Roman"/>
          <w:b/>
          <w:bCs/>
          <w:szCs w:val="21"/>
        </w:rPr>
      </w:pPr>
      <w:bookmarkStart w:id="2" w:name="_Toc310770283"/>
      <w:bookmarkStart w:id="3" w:name="_Toc310770513"/>
      <w:bookmarkStart w:id="4" w:name="_Toc310773100"/>
      <w:bookmarkStart w:id="5" w:name="_Toc310770287"/>
      <w:bookmarkStart w:id="6" w:name="_Toc310243215"/>
      <w:bookmarkStart w:id="7" w:name="_Toc310770511"/>
      <w:bookmarkStart w:id="8" w:name="_Toc310243213"/>
      <w:bookmarkStart w:id="9" w:name="_Toc310836823"/>
      <w:bookmarkStart w:id="10" w:name="_Toc310243214"/>
      <w:bookmarkStart w:id="11" w:name="_Toc310836824"/>
      <w:bookmarkStart w:id="12" w:name="_Toc310770285"/>
      <w:bookmarkStart w:id="13" w:name="_Toc310770512"/>
      <w:bookmarkStart w:id="14" w:name="_Toc310836822"/>
      <w:bookmarkStart w:id="15" w:name="_Toc310773099"/>
      <w:bookmarkStart w:id="16" w:name="_Toc310773098"/>
      <w:bookmarkStart w:id="17" w:name="_Toc310770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Cs w:val="21"/>
        </w:rPr>
        <w:t>风险提示：</w:t>
      </w:r>
    </w:p>
    <w:p w:rsidR="00000000" w:rsidRDefault="004528A9">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18" w:name="_Hlk41679176"/>
      <w:r>
        <w:rPr>
          <w:rFonts w:ascii="Times New Roman" w:hAnsi="Times New Roman"/>
          <w:b/>
          <w:bCs/>
          <w:szCs w:val="21"/>
        </w:rPr>
        <w:t>《投资者权益须知》</w:t>
      </w:r>
      <w:bookmarkEnd w:id="18"/>
      <w:r>
        <w:rPr>
          <w:rFonts w:ascii="Times New Roman" w:hAnsi="Times New Roman"/>
          <w:b/>
          <w:bCs/>
          <w:szCs w:val="21"/>
        </w:rPr>
        <w:t>《理财产品投资协议书》，充分认识投资风险，谨慎投资。</w:t>
      </w:r>
    </w:p>
    <w:p w:rsidR="00000000" w:rsidRDefault="004528A9">
      <w:pPr>
        <w:tabs>
          <w:tab w:val="left" w:pos="7920"/>
          <w:tab w:val="left" w:pos="8100"/>
        </w:tabs>
        <w:spacing w:line="0" w:lineRule="atLeast"/>
        <w:rPr>
          <w:rFonts w:ascii="Times New Roman" w:hAnsi="Times New Roman"/>
          <w:b/>
          <w:bCs/>
        </w:rPr>
      </w:pPr>
    </w:p>
    <w:p w:rsidR="00000000" w:rsidRDefault="004528A9">
      <w:pPr>
        <w:spacing w:line="0" w:lineRule="atLeast"/>
        <w:jc w:val="center"/>
        <w:rPr>
          <w:rFonts w:ascii="Times New Roman" w:eastAsia="黑体" w:hAnsi="Times New Roman"/>
          <w:b/>
          <w:bCs/>
          <w:sz w:val="24"/>
          <w:szCs w:val="15"/>
        </w:rPr>
      </w:pPr>
    </w:p>
    <w:p w:rsidR="00000000" w:rsidRDefault="004528A9">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4528A9">
      <w:pPr>
        <w:spacing w:line="200" w:lineRule="exact"/>
        <w:ind w:firstLineChars="200" w:firstLine="300"/>
        <w:rPr>
          <w:rFonts w:ascii="Times New Roman" w:eastAsia="方正细黑一简体" w:hAnsi="Times New Roman"/>
          <w:sz w:val="15"/>
          <w:szCs w:val="15"/>
        </w:rPr>
      </w:pPr>
    </w:p>
    <w:p w:rsidR="00000000" w:rsidRDefault="004528A9">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hint="eastAsia"/>
          <w:color w:val="3D3D3D"/>
          <w:sz w:val="15"/>
          <w:szCs w:val="15"/>
        </w:rPr>
        <w:t>”</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000000" w:rsidRDefault="004528A9">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000000" w:rsidRDefault="004528A9">
      <w:pPr>
        <w:pStyle w:val="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000000" w:rsidRDefault="004528A9">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000000" w:rsidRDefault="004528A9">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highlight w:val="yellow"/>
        </w:rPr>
        <w:t>【</w:t>
      </w:r>
      <w:r>
        <w:rPr>
          <w:rFonts w:ascii="Times New Roman" w:hAnsi="Times New Roman" w:hint="eastAsia"/>
          <w:spacing w:val="10"/>
          <w:sz w:val="15"/>
          <w:szCs w:val="15"/>
          <w:highlight w:val="yellow"/>
        </w:rPr>
        <w:t>海南银行股份有限公司</w:t>
      </w:r>
      <w:r>
        <w:rPr>
          <w:rFonts w:ascii="Times New Roman" w:hAnsi="Times New Roman" w:hint="eastAsia"/>
          <w:spacing w:val="10"/>
          <w:sz w:val="15"/>
          <w:szCs w:val="15"/>
          <w:highlight w:val="yellow"/>
        </w:rPr>
        <w:t>】</w:t>
      </w:r>
      <w:r>
        <w:rPr>
          <w:rFonts w:ascii="Times New Roman" w:hAnsi="Times New Roman" w:hint="eastAsia"/>
          <w:spacing w:val="10"/>
          <w:sz w:val="15"/>
          <w:szCs w:val="15"/>
        </w:rPr>
        <w:t>作为</w:t>
      </w:r>
      <w:r>
        <w:rPr>
          <w:rFonts w:ascii="Times New Roman" w:hAnsi="Times New Roman" w:hint="eastAsia"/>
          <w:spacing w:val="10"/>
          <w:sz w:val="15"/>
          <w:szCs w:val="15"/>
        </w:rPr>
        <w:t>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000000" w:rsidRDefault="004528A9">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w:t>
      </w:r>
      <w:r>
        <w:rPr>
          <w:rFonts w:ascii="Times New Roman" w:hAnsi="Times New Roman"/>
          <w:spacing w:val="10"/>
          <w:sz w:val="15"/>
          <w:szCs w:val="15"/>
        </w:rPr>
        <w:t>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w:t>
      </w:r>
      <w:r>
        <w:rPr>
          <w:rFonts w:ascii="Times New Roman" w:hAnsi="Times New Roman" w:hint="eastAsia"/>
          <w:spacing w:val="10"/>
          <w:sz w:val="15"/>
          <w:szCs w:val="15"/>
        </w:rPr>
        <w:t>《</w:t>
      </w:r>
      <w:r>
        <w:rPr>
          <w:rFonts w:ascii="Times New Roman" w:hAnsi="Times New Roman" w:hint="eastAsia"/>
          <w:spacing w:val="10"/>
          <w:sz w:val="15"/>
          <w:szCs w:val="15"/>
        </w:rPr>
        <w:t>理财产品说明书</w:t>
      </w:r>
      <w:r>
        <w:rPr>
          <w:rFonts w:ascii="Times New Roman" w:hAnsi="Times New Roman" w:hint="eastAsia"/>
          <w:spacing w:val="10"/>
          <w:sz w:val="15"/>
          <w:szCs w:val="15"/>
        </w:rPr>
        <w:t>》</w:t>
      </w:r>
      <w:r>
        <w:rPr>
          <w:rFonts w:ascii="Times New Roman" w:hAnsi="Times New Roman" w:hint="eastAsia"/>
          <w:spacing w:val="10"/>
          <w:sz w:val="15"/>
          <w:szCs w:val="15"/>
        </w:rPr>
        <w:t>约定的其他应由理财产品承担的费用等</w:t>
      </w:r>
      <w:r>
        <w:rPr>
          <w:rFonts w:ascii="Times New Roman" w:hAnsi="Times New Roman"/>
          <w:spacing w:val="10"/>
          <w:sz w:val="15"/>
          <w:szCs w:val="15"/>
        </w:rPr>
        <w:t>，在实际发生时列支。</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w:t>
      </w:r>
      <w:r>
        <w:rPr>
          <w:rFonts w:ascii="Times New Roman" w:hAnsi="Times New Roman"/>
          <w:spacing w:val="10"/>
          <w:sz w:val="15"/>
          <w:szCs w:val="15"/>
        </w:rPr>
        <w:t>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000000" w:rsidRDefault="004528A9">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w:t>
      </w:r>
      <w:r>
        <w:rPr>
          <w:b/>
          <w:bCs/>
          <w:color w:val="000000"/>
          <w:kern w:val="0"/>
          <w:sz w:val="15"/>
          <w:szCs w:val="11"/>
        </w:rPr>
        <w:t>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w:t>
      </w:r>
      <w:r>
        <w:rPr>
          <w:rFonts w:ascii="Times New Roman" w:hAnsi="Times New Roman"/>
          <w:spacing w:val="10"/>
          <w:sz w:val="15"/>
          <w:szCs w:val="15"/>
        </w:rPr>
        <w:t>素。</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000000" w:rsidRDefault="004528A9">
      <w:pPr>
        <w:numPr>
          <w:ilvl w:val="0"/>
          <w:numId w:val="6"/>
        </w:numPr>
        <w:spacing w:line="200" w:lineRule="exact"/>
        <w:ind w:firstLineChars="200" w:firstLine="341"/>
        <w:rPr>
          <w:rFonts w:ascii="Times New Roman" w:hAnsi="Times New Roman"/>
          <w:b/>
          <w:bCs/>
          <w:spacing w:val="10"/>
          <w:sz w:val="15"/>
          <w:szCs w:val="15"/>
        </w:rPr>
      </w:pPr>
      <w:bookmarkStart w:id="19"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机构配合对乙方理财产品份额、理财账户、授权指定账户进行查封、冻结或扣划的，甲方或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w:t>
      </w:r>
      <w:r>
        <w:rPr>
          <w:rFonts w:ascii="Times New Roman" w:hAnsi="Times New Roman"/>
          <w:b/>
          <w:spacing w:val="10"/>
          <w:sz w:val="15"/>
        </w:rPr>
        <w:t>将此损失及费用从乙方的授权指定账户、理财本金及收益中扣除</w:t>
      </w:r>
      <w:r>
        <w:rPr>
          <w:rFonts w:ascii="Times New Roman" w:hAnsi="Times New Roman"/>
          <w:b/>
          <w:bCs/>
          <w:spacing w:val="10"/>
          <w:sz w:val="15"/>
          <w:szCs w:val="15"/>
        </w:rPr>
        <w:t>。</w:t>
      </w:r>
    </w:p>
    <w:p w:rsidR="00000000" w:rsidRDefault="004528A9">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w:t>
      </w:r>
      <w:r>
        <w:rPr>
          <w:rFonts w:ascii="Times New Roman" w:hAnsi="Times New Roman"/>
          <w:b/>
          <w:bCs/>
          <w:spacing w:val="10"/>
          <w:sz w:val="15"/>
          <w:szCs w:val="15"/>
        </w:rPr>
        <w:t>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机构、托管人、合作机构的，产品管理人将按照法律法规和监管要求履行相应程序，乙方认购或申购理财产品即视为同意该等安排。</w:t>
      </w:r>
    </w:p>
    <w:bookmarkEnd w:id="19"/>
    <w:p w:rsidR="00000000" w:rsidRDefault="004528A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0" w:name="_Hlk41902131"/>
      <w:r>
        <w:rPr>
          <w:rFonts w:ascii="Times New Roman" w:hAnsi="Times New Roman"/>
          <w:spacing w:val="10"/>
          <w:sz w:val="15"/>
          <w:szCs w:val="15"/>
        </w:rPr>
        <w:t>理财产品</w:t>
      </w:r>
      <w:bookmarkEnd w:id="20"/>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000000" w:rsidRDefault="004528A9">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000000" w:rsidRDefault="004528A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w:t>
      </w:r>
      <w:r>
        <w:rPr>
          <w:rFonts w:ascii="Times New Roman" w:hAnsi="Times New Roman"/>
          <w:spacing w:val="10"/>
          <w:sz w:val="15"/>
          <w:szCs w:val="15"/>
        </w:rPr>
        <w:t>供资金来源合法的证明文件</w:t>
      </w:r>
      <w:bookmarkStart w:id="21"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1"/>
    <w:p w:rsidR="00000000" w:rsidRDefault="004528A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00000" w:rsidRDefault="004528A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000000" w:rsidRDefault="004528A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000000" w:rsidRDefault="004528A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w:t>
      </w:r>
      <w:r>
        <w:rPr>
          <w:rFonts w:ascii="Times New Roman" w:hAnsi="Times New Roman"/>
          <w:spacing w:val="10"/>
          <w:sz w:val="15"/>
          <w:szCs w:val="15"/>
        </w:rPr>
        <w:t>全部权力和授权。（机构投资者适用）</w:t>
      </w:r>
    </w:p>
    <w:p w:rsidR="00000000" w:rsidRDefault="004528A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00000" w:rsidRDefault="004528A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000000" w:rsidRDefault="004528A9">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000000" w:rsidRDefault="004528A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w:t>
      </w:r>
      <w:r>
        <w:rPr>
          <w:rFonts w:ascii="Times New Roman" w:hAnsi="Times New Roman"/>
          <w:spacing w:val="10"/>
          <w:sz w:val="15"/>
          <w:szCs w:val="15"/>
        </w:rPr>
        <w:t>利签署本协议和履行本协议所述的义务，并已为此采取一切所需</w:t>
      </w:r>
      <w:r>
        <w:rPr>
          <w:rFonts w:ascii="Times New Roman" w:hAnsi="Times New Roman"/>
          <w:spacing w:val="10"/>
          <w:sz w:val="15"/>
          <w:szCs w:val="15"/>
        </w:rPr>
        <w:lastRenderedPageBreak/>
        <w:t>的行为。</w:t>
      </w:r>
    </w:p>
    <w:p w:rsidR="00000000" w:rsidRDefault="004528A9">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2" w:name="_Hlk41902655"/>
      <w:r>
        <w:rPr>
          <w:rFonts w:ascii="Times New Roman" w:hAnsi="Times New Roman"/>
          <w:spacing w:val="10"/>
          <w:sz w:val="15"/>
          <w:szCs w:val="15"/>
        </w:rPr>
        <w:t>或其他法律文件</w:t>
      </w:r>
      <w:bookmarkEnd w:id="22"/>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000000" w:rsidRDefault="004528A9">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w:t>
      </w:r>
      <w:r>
        <w:rPr>
          <w:rFonts w:ascii="Times New Roman" w:hAnsi="Times New Roman"/>
          <w:spacing w:val="10"/>
          <w:sz w:val="15"/>
          <w:szCs w:val="15"/>
        </w:rPr>
        <w:t>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000000" w:rsidRDefault="004528A9">
      <w:pPr>
        <w:pStyle w:val="a3"/>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根据实际情况采取的任何措施，包</w:t>
      </w:r>
      <w:r>
        <w:rPr>
          <w:rFonts w:ascii="Times New Roman" w:hAnsi="Times New Roman"/>
          <w:b/>
          <w:spacing w:val="10"/>
          <w:sz w:val="15"/>
        </w:rPr>
        <w:t>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对上述后果承担任何责任</w:t>
      </w:r>
      <w:r>
        <w:rPr>
          <w:rFonts w:ascii="Times New Roman" w:hAnsi="Times New Roman"/>
          <w:spacing w:val="10"/>
          <w:sz w:val="15"/>
          <w:szCs w:val="15"/>
        </w:rPr>
        <w:t>。</w:t>
      </w:r>
    </w:p>
    <w:p w:rsidR="00000000" w:rsidRDefault="004528A9">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3"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3"/>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000000" w:rsidRDefault="004528A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000000" w:rsidRDefault="004528A9">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w:t>
      </w:r>
      <w:r>
        <w:rPr>
          <w:rFonts w:ascii="Times New Roman" w:hAnsi="Times New Roman"/>
          <w:b/>
          <w:bCs/>
          <w:spacing w:val="10"/>
          <w:sz w:val="15"/>
          <w:szCs w:val="15"/>
        </w:rPr>
        <w:t>，未经产品管理人同意，乙方不以本理财产品说明书或产品说明书项下的任何权利、利益、权益为乙方和任何第三人的债务设定担保或其他权益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000000" w:rsidRDefault="004528A9">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4" w:name="_Hlk41902728"/>
    </w:p>
    <w:p w:rsidR="00000000" w:rsidRDefault="004528A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w:t>
      </w:r>
      <w:r>
        <w:rPr>
          <w:rFonts w:ascii="Times New Roman" w:hAnsi="Times New Roman" w:hint="eastAsia"/>
          <w:spacing w:val="10"/>
          <w:sz w:val="15"/>
          <w:szCs w:val="15"/>
        </w:rPr>
        <w:t>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000000" w:rsidRDefault="004528A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w:t>
      </w:r>
      <w:r>
        <w:rPr>
          <w:rFonts w:ascii="Times New Roman" w:hAnsi="Times New Roman" w:hint="eastAsia"/>
          <w:b/>
          <w:bCs/>
          <w:spacing w:val="10"/>
          <w:sz w:val="15"/>
          <w:szCs w:val="15"/>
        </w:rPr>
        <w:t>代理销售机构</w:t>
      </w:r>
      <w:r>
        <w:rPr>
          <w:rFonts w:ascii="Times New Roman" w:hAnsi="Times New Roman" w:hint="eastAsia"/>
          <w:b/>
          <w:bCs/>
          <w:spacing w:val="10"/>
          <w:sz w:val="15"/>
          <w:szCs w:val="15"/>
        </w:rPr>
        <w:t>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w:t>
      </w:r>
      <w:r>
        <w:rPr>
          <w:rFonts w:ascii="Times New Roman" w:hAnsi="Times New Roman"/>
          <w:spacing w:val="10"/>
          <w:sz w:val="15"/>
          <w:szCs w:val="15"/>
        </w:rPr>
        <w:t>受甲方提供的投资理财服务。乙方已仔细阅读本理财产品《风险揭示书》，已充分知悉本理财产品风险等级，并确定以相应理财资金投资本理财产品，乙方承诺由此产生的相关风险由其自身承担。</w:t>
      </w:r>
    </w:p>
    <w:p w:rsidR="00000000" w:rsidRDefault="004528A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000000" w:rsidRDefault="004528A9">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w:t>
      </w:r>
      <w:r>
        <w:rPr>
          <w:rFonts w:ascii="Times New Roman" w:hAnsi="Times New Roman"/>
          <w:b/>
          <w:bCs/>
          <w:color w:val="3D3D3D"/>
          <w:spacing w:val="10"/>
          <w:sz w:val="15"/>
          <w:szCs w:val="15"/>
        </w:rPr>
        <w:t>及时返还</w:t>
      </w:r>
      <w:r>
        <w:rPr>
          <w:rFonts w:ascii="Times New Roman" w:hAnsi="Times New Roman"/>
          <w:b/>
          <w:bCs/>
          <w:color w:val="3D3D3D"/>
          <w:spacing w:val="10"/>
          <w:sz w:val="15"/>
          <w:szCs w:val="15"/>
        </w:rPr>
        <w:t>其在理财投资过程中取得的</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在此授权管理人</w:t>
      </w:r>
      <w:r>
        <w:rPr>
          <w:rFonts w:ascii="Times New Roman" w:hAnsi="Times New Roman"/>
          <w:b/>
          <w:bCs/>
          <w:color w:val="3D3D3D"/>
          <w:spacing w:val="10"/>
          <w:sz w:val="15"/>
          <w:szCs w:val="15"/>
        </w:rPr>
        <w:t>或销售机构</w:t>
      </w:r>
      <w:r>
        <w:rPr>
          <w:rFonts w:ascii="Times New Roman" w:hAnsi="Times New Roman"/>
          <w:b/>
          <w:bCs/>
          <w:color w:val="3D3D3D"/>
          <w:spacing w:val="10"/>
          <w:sz w:val="15"/>
          <w:szCs w:val="15"/>
        </w:rPr>
        <w:t>可直接从</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开立在</w:t>
      </w:r>
      <w:r>
        <w:rPr>
          <w:rFonts w:ascii="Times New Roman" w:hAnsi="Times New Roman"/>
          <w:b/>
          <w:bCs/>
          <w:color w:val="3D3D3D"/>
          <w:spacing w:val="10"/>
          <w:sz w:val="15"/>
          <w:szCs w:val="15"/>
        </w:rPr>
        <w:t>销售</w:t>
      </w:r>
      <w:r>
        <w:rPr>
          <w:rFonts w:ascii="Times New Roman" w:hAnsi="Times New Roman"/>
          <w:b/>
          <w:bCs/>
          <w:color w:val="3D3D3D"/>
          <w:spacing w:val="10"/>
          <w:sz w:val="15"/>
          <w:szCs w:val="15"/>
        </w:rPr>
        <w:t>机构的任一账户中直接扣收</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部分而无需另行征得</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同意</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不提出任何异议。</w:t>
      </w:r>
    </w:p>
    <w:p w:rsidR="00000000" w:rsidRDefault="004528A9">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w:t>
      </w:r>
      <w:r>
        <w:rPr>
          <w:rFonts w:ascii="Times New Roman" w:hAnsi="Times New Roman" w:hint="eastAsia"/>
          <w:b/>
          <w:bCs/>
          <w:spacing w:val="10"/>
          <w:sz w:val="15"/>
          <w:szCs w:val="15"/>
        </w:rPr>
        <w:t>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4528A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4"/>
    </w:p>
    <w:p w:rsidR="00000000" w:rsidRDefault="004528A9">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000000" w:rsidRDefault="004528A9">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000000" w:rsidRDefault="004528A9">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000000" w:rsidRDefault="004528A9">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w:t>
      </w:r>
      <w:r>
        <w:rPr>
          <w:rFonts w:ascii="Times New Roman" w:hAnsi="Times New Roman"/>
          <w:spacing w:val="10"/>
          <w:sz w:val="15"/>
          <w:szCs w:val="15"/>
        </w:rPr>
        <w:t>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w:t>
      </w:r>
      <w:r>
        <w:rPr>
          <w:rFonts w:ascii="Times New Roman" w:hAnsi="Times New Roman" w:hint="eastAsia"/>
          <w:spacing w:val="10"/>
          <w:sz w:val="15"/>
          <w:szCs w:val="15"/>
        </w:rPr>
        <w:t>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000000" w:rsidRDefault="004528A9">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000000" w:rsidRDefault="004528A9">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5" w:name="_Hlk41902781"/>
      <w:r>
        <w:rPr>
          <w:rFonts w:ascii="Times New Roman" w:hAnsi="Times New Roman"/>
          <w:spacing w:val="10"/>
          <w:sz w:val="15"/>
          <w:szCs w:val="15"/>
        </w:rPr>
        <w:t>资金支付</w:t>
      </w:r>
      <w:bookmarkEnd w:id="25"/>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6"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6"/>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w:t>
      </w:r>
      <w:r>
        <w:rPr>
          <w:rFonts w:ascii="Times New Roman" w:hAnsi="Times New Roman"/>
          <w:b/>
          <w:bCs/>
          <w:spacing w:val="10"/>
          <w:sz w:val="15"/>
          <w:szCs w:val="15"/>
        </w:rPr>
        <w:t>提前支付、延迟支付或者分次支付，并及时根据法律法规的要求向乙方披露支付方案。</w:t>
      </w:r>
    </w:p>
    <w:p w:rsidR="00000000" w:rsidRDefault="004528A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000000" w:rsidRDefault="004528A9">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00000" w:rsidRDefault="004528A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000000" w:rsidRDefault="004528A9">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000000" w:rsidRDefault="004528A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000000" w:rsidRDefault="004528A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w:t>
      </w:r>
      <w:r>
        <w:rPr>
          <w:rFonts w:ascii="Times New Roman" w:hAnsi="Times New Roman"/>
          <w:bCs/>
          <w:spacing w:val="10"/>
          <w:sz w:val="15"/>
          <w:szCs w:val="15"/>
        </w:rPr>
        <w:t>、法规、规章、监管规定、政策的改变、紧急措施的出台、理财市场环境发生重大变化等导致理财产品必须提前终止的；</w:t>
      </w:r>
    </w:p>
    <w:p w:rsidR="00000000" w:rsidRDefault="004528A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000000" w:rsidRDefault="004528A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000000" w:rsidRDefault="004528A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00000" w:rsidRDefault="004528A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000000" w:rsidRDefault="004528A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w:t>
      </w:r>
      <w:r>
        <w:rPr>
          <w:rFonts w:ascii="Times New Roman" w:hAnsi="Times New Roman"/>
          <w:bCs/>
          <w:spacing w:val="10"/>
          <w:sz w:val="15"/>
          <w:szCs w:val="15"/>
        </w:rPr>
        <w:t>资产部分或全部提前偿付；</w:t>
      </w:r>
    </w:p>
    <w:p w:rsidR="00000000" w:rsidRDefault="004528A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000000" w:rsidRDefault="004528A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000000" w:rsidRDefault="004528A9">
      <w:pPr>
        <w:pStyle w:val="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000000" w:rsidRDefault="004528A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000000" w:rsidRDefault="004528A9">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000000" w:rsidRDefault="004528A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000000" w:rsidRDefault="004528A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000000" w:rsidRDefault="004528A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r>
        <w:rPr>
          <w:rFonts w:ascii="Times New Roman" w:hAnsi="Times New Roman"/>
          <w:bCs/>
          <w:spacing w:val="10"/>
          <w:sz w:val="15"/>
          <w:szCs w:val="15"/>
        </w:rPr>
        <w:t>；</w:t>
      </w:r>
    </w:p>
    <w:p w:rsidR="00000000" w:rsidRDefault="004528A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000000" w:rsidRDefault="004528A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000000" w:rsidRDefault="004528A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000000" w:rsidRDefault="004528A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000000" w:rsidRDefault="004528A9">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p>
    <w:p w:rsidR="00000000" w:rsidRDefault="004528A9">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w:t>
      </w:r>
      <w:r>
        <w:rPr>
          <w:rFonts w:ascii="Times New Roman" w:hAnsi="Times New Roman" w:hint="eastAsia"/>
          <w:b/>
          <w:spacing w:val="10"/>
          <w:sz w:val="15"/>
          <w:szCs w:val="15"/>
        </w:rPr>
        <w:t>不因投资者丧失民事行为能力、死亡、破产、解散等情形而终止。上述情况下，投资者于</w:t>
      </w:r>
      <w:r>
        <w:rPr>
          <w:rFonts w:ascii="Times New Roman" w:hAnsi="Times New Roman" w:hint="eastAsia"/>
          <w:b/>
          <w:spacing w:val="10"/>
          <w:sz w:val="15"/>
          <w:szCs w:val="15"/>
        </w:rPr>
        <w:t>理财产品销售文件</w:t>
      </w:r>
      <w:r>
        <w:rPr>
          <w:rFonts w:ascii="Times New Roman" w:hAnsi="Times New Roman" w:hint="eastAsia"/>
          <w:b/>
          <w:spacing w:val="10"/>
          <w:sz w:val="15"/>
          <w:szCs w:val="15"/>
        </w:rPr>
        <w:t>项下的权利以及义务由其</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承继人、</w:t>
      </w:r>
      <w:r>
        <w:rPr>
          <w:rFonts w:ascii="Times New Roman" w:hAnsi="Times New Roman" w:hint="eastAsia"/>
          <w:b/>
          <w:spacing w:val="10"/>
          <w:sz w:val="15"/>
          <w:szCs w:val="15"/>
        </w:rPr>
        <w:t>继受人或者指定的受益人以及继任</w:t>
      </w:r>
      <w:r>
        <w:rPr>
          <w:rFonts w:ascii="Times New Roman" w:hAnsi="Times New Roman" w:hint="eastAsia"/>
          <w:b/>
          <w:spacing w:val="10"/>
          <w:sz w:val="15"/>
          <w:szCs w:val="15"/>
        </w:rPr>
        <w:t>管理人等承担。</w:t>
      </w:r>
      <w:r>
        <w:rPr>
          <w:rFonts w:ascii="Times New Roman" w:hAnsi="Times New Roman" w:hint="eastAsia"/>
          <w:b/>
          <w:spacing w:val="10"/>
          <w:sz w:val="15"/>
          <w:szCs w:val="15"/>
        </w:rPr>
        <w:t>甲方</w:t>
      </w:r>
      <w:r>
        <w:rPr>
          <w:rFonts w:ascii="Times New Roman" w:hAnsi="Times New Roman" w:hint="eastAsia"/>
          <w:b/>
          <w:spacing w:val="10"/>
          <w:sz w:val="15"/>
          <w:szCs w:val="15"/>
        </w:rPr>
        <w:t>以及</w:t>
      </w:r>
      <w:r>
        <w:rPr>
          <w:rFonts w:ascii="Times New Roman" w:hAnsi="Times New Roman" w:hint="eastAsia"/>
          <w:b/>
          <w:spacing w:val="10"/>
          <w:sz w:val="15"/>
          <w:szCs w:val="15"/>
        </w:rPr>
        <w:t>销售机构</w:t>
      </w:r>
      <w:r>
        <w:rPr>
          <w:rFonts w:ascii="Times New Roman" w:hAnsi="Times New Roman" w:hint="eastAsia"/>
          <w:b/>
          <w:spacing w:val="10"/>
          <w:sz w:val="15"/>
          <w:szCs w:val="15"/>
        </w:rPr>
        <w:t>有权要求</w:t>
      </w:r>
      <w:r>
        <w:rPr>
          <w:rFonts w:ascii="Times New Roman" w:hAnsi="Times New Roman" w:hint="eastAsia"/>
          <w:b/>
          <w:spacing w:val="10"/>
          <w:sz w:val="15"/>
          <w:szCs w:val="15"/>
        </w:rPr>
        <w:t>或</w:t>
      </w:r>
      <w:r>
        <w:rPr>
          <w:rFonts w:ascii="Times New Roman" w:hAnsi="Times New Roman" w:hint="eastAsia"/>
          <w:b/>
          <w:spacing w:val="10"/>
          <w:sz w:val="15"/>
          <w:szCs w:val="15"/>
        </w:rPr>
        <w:t>配合</w:t>
      </w:r>
      <w:r>
        <w:rPr>
          <w:rFonts w:ascii="Times New Roman" w:hAnsi="Times New Roman" w:hint="eastAsia"/>
          <w:b/>
          <w:spacing w:val="10"/>
          <w:sz w:val="15"/>
          <w:szCs w:val="15"/>
        </w:rPr>
        <w:t>投资者的</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w:t>
      </w:r>
      <w:r>
        <w:rPr>
          <w:rFonts w:ascii="Times New Roman" w:hAnsi="Times New Roman" w:hint="eastAsia"/>
          <w:b/>
          <w:spacing w:val="10"/>
          <w:sz w:val="15"/>
          <w:szCs w:val="15"/>
        </w:rPr>
        <w:t>承继人、</w:t>
      </w:r>
      <w:r>
        <w:rPr>
          <w:rFonts w:ascii="Times New Roman" w:hAnsi="Times New Roman" w:hint="eastAsia"/>
          <w:b/>
          <w:spacing w:val="10"/>
          <w:sz w:val="15"/>
          <w:szCs w:val="15"/>
        </w:rPr>
        <w:t>继受人</w:t>
      </w:r>
      <w:r>
        <w:rPr>
          <w:rFonts w:ascii="Times New Roman" w:hAnsi="Times New Roman" w:hint="eastAsia"/>
          <w:b/>
          <w:spacing w:val="10"/>
          <w:sz w:val="15"/>
          <w:szCs w:val="15"/>
        </w:rPr>
        <w:t>或者指定受益人以及继任管理人等相关主体办理相关变更手续。</w:t>
      </w:r>
    </w:p>
    <w:p w:rsidR="00000000" w:rsidRDefault="004528A9">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000000" w:rsidRDefault="004528A9">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w:t>
      </w:r>
      <w:r>
        <w:rPr>
          <w:rFonts w:ascii="Times New Roman" w:hAnsi="Times New Roman" w:hint="eastAsia"/>
          <w:b/>
          <w:spacing w:val="10"/>
          <w:sz w:val="15"/>
          <w:szCs w:val="15"/>
        </w:rPr>
        <w:t>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w:t>
      </w:r>
      <w:r>
        <w:rPr>
          <w:rFonts w:ascii="Times New Roman" w:hAnsi="Times New Roman"/>
          <w:b/>
          <w:bCs/>
          <w:spacing w:val="10"/>
          <w:sz w:val="15"/>
          <w:szCs w:val="15"/>
        </w:rPr>
        <w:t>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000000" w:rsidRDefault="004528A9">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w:t>
      </w:r>
      <w:r>
        <w:rPr>
          <w:rFonts w:ascii="Times New Roman" w:hAnsi="Times New Roman" w:hint="eastAsia"/>
          <w:bCs/>
          <w:spacing w:val="10"/>
          <w:sz w:val="15"/>
          <w:szCs w:val="15"/>
        </w:rPr>
        <w:t>应当在理财产品终止前，</w:t>
      </w:r>
      <w:r>
        <w:rPr>
          <w:rFonts w:ascii="Times New Roman" w:hAnsi="Times New Roman" w:hint="eastAsia"/>
          <w:bCs/>
          <w:spacing w:val="10"/>
          <w:sz w:val="15"/>
          <w:szCs w:val="15"/>
        </w:rPr>
        <w:t>将依约定进行公告。</w:t>
      </w:r>
      <w:r>
        <w:rPr>
          <w:rFonts w:ascii="Times New Roman" w:hAnsi="Times New Roman" w:hint="eastAsia"/>
          <w:b/>
          <w:spacing w:val="10"/>
          <w:sz w:val="15"/>
          <w:szCs w:val="15"/>
        </w:rPr>
        <w:t>因</w:t>
      </w:r>
      <w:r>
        <w:rPr>
          <w:rFonts w:ascii="Times New Roman" w:hAnsi="Times New Roman" w:hint="eastAsia"/>
          <w:b/>
          <w:spacing w:val="10"/>
          <w:sz w:val="15"/>
          <w:szCs w:val="15"/>
        </w:rPr>
        <w:t>本理财产品的投资资产无法及时、足额变现</w:t>
      </w:r>
      <w:r>
        <w:rPr>
          <w:rFonts w:ascii="Times New Roman" w:hAnsi="Times New Roman" w:hint="eastAsia"/>
          <w:b/>
          <w:spacing w:val="10"/>
          <w:sz w:val="15"/>
          <w:szCs w:val="15"/>
        </w:rPr>
        <w:t>等原因</w:t>
      </w:r>
      <w:r>
        <w:rPr>
          <w:rFonts w:ascii="Times New Roman" w:hAnsi="Times New Roman" w:hint="eastAsia"/>
          <w:b/>
          <w:spacing w:val="10"/>
          <w:sz w:val="15"/>
          <w:szCs w:val="15"/>
        </w:rPr>
        <w:t>，南银理财可以根据实际情况选择向投资者提前支付、延迟支付或者分次支付，并及时根据法律法规的要求向乙方披露支付方案。</w:t>
      </w:r>
    </w:p>
    <w:p w:rsidR="00000000" w:rsidRDefault="004528A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000000" w:rsidRDefault="004528A9">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000000" w:rsidRDefault="004528A9">
      <w:pPr>
        <w:numPr>
          <w:ilvl w:val="0"/>
          <w:numId w:val="12"/>
        </w:numPr>
        <w:spacing w:line="200" w:lineRule="exact"/>
        <w:ind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w:t>
      </w:r>
      <w:r>
        <w:rPr>
          <w:rFonts w:ascii="Times New Roman" w:hAnsi="Times New Roman" w:hint="eastAsia"/>
          <w:b/>
          <w:spacing w:val="10"/>
          <w:sz w:val="15"/>
          <w:szCs w:val="15"/>
        </w:rPr>
        <w:t>甲方</w:t>
      </w:r>
      <w:r>
        <w:rPr>
          <w:rFonts w:ascii="Times New Roman" w:hAnsi="Times New Roman" w:hint="eastAsia"/>
          <w:b/>
          <w:spacing w:val="10"/>
          <w:sz w:val="15"/>
          <w:szCs w:val="15"/>
        </w:rPr>
        <w:t>有权单方面对</w:t>
      </w:r>
      <w:r>
        <w:rPr>
          <w:rFonts w:ascii="Times New Roman" w:hAnsi="Times New Roman"/>
          <w:b/>
          <w:spacing w:val="10"/>
          <w:sz w:val="15"/>
          <w:szCs w:val="15"/>
        </w:rPr>
        <w:t>本理财产品的《理财产品销售协议</w:t>
      </w:r>
      <w:r>
        <w:rPr>
          <w:rFonts w:ascii="Times New Roman" w:hAnsi="Times New Roman"/>
          <w:b/>
          <w:spacing w:val="10"/>
          <w:sz w:val="15"/>
          <w:szCs w:val="15"/>
        </w:rPr>
        <w:t>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w:t>
      </w:r>
      <w:r>
        <w:rPr>
          <w:rFonts w:ascii="Times New Roman" w:hAnsi="Times New Roman" w:hint="eastAsia"/>
          <w:b/>
          <w:spacing w:val="10"/>
          <w:sz w:val="15"/>
          <w:szCs w:val="15"/>
        </w:rPr>
        <w:t>销售文件</w:t>
      </w:r>
      <w:r>
        <w:rPr>
          <w:rFonts w:ascii="Times New Roman" w:hAnsi="Times New Roman" w:hint="eastAsia"/>
          <w:b/>
          <w:spacing w:val="10"/>
          <w:sz w:val="15"/>
          <w:szCs w:val="15"/>
        </w:rPr>
        <w:t>对投资者具有法律约束力</w:t>
      </w:r>
      <w:r>
        <w:rPr>
          <w:rFonts w:ascii="Times New Roman" w:hAnsi="Times New Roman" w:hint="eastAsia"/>
          <w:b/>
          <w:spacing w:val="10"/>
          <w:sz w:val="15"/>
          <w:szCs w:val="15"/>
        </w:rPr>
        <w:t>；</w:t>
      </w:r>
    </w:p>
    <w:p w:rsidR="00000000" w:rsidRDefault="004528A9">
      <w:pPr>
        <w:numPr>
          <w:ilvl w:val="0"/>
          <w:numId w:val="12"/>
        </w:numPr>
        <w:spacing w:line="200" w:lineRule="exact"/>
        <w:ind w:firstLine="340"/>
        <w:rPr>
          <w:rFonts w:ascii="Times New Roman" w:hAnsi="Times New Roman"/>
          <w:b/>
          <w:spacing w:val="10"/>
          <w:sz w:val="15"/>
          <w:szCs w:val="15"/>
        </w:rPr>
      </w:pPr>
      <w:r>
        <w:rPr>
          <w:rFonts w:ascii="Times New Roman" w:hAnsi="Times New Roman" w:hint="eastAsia"/>
          <w:b/>
          <w:spacing w:val="10"/>
          <w:sz w:val="15"/>
          <w:szCs w:val="15"/>
        </w:rPr>
        <w:t>若因市场情况等发生变化或是出于维护本理财产品正常运营或管理的需要，或基于甲方合理认定的其他情形，且投资者无法发起赎回申请时</w:t>
      </w:r>
      <w:r>
        <w:rPr>
          <w:rFonts w:ascii="Times New Roman" w:hAnsi="Times New Roman" w:hint="eastAsia"/>
          <w:b/>
          <w:spacing w:val="10"/>
          <w:sz w:val="15"/>
          <w:szCs w:val="15"/>
        </w:rPr>
        <w:t>，</w:t>
      </w:r>
      <w:r>
        <w:rPr>
          <w:rFonts w:ascii="Times New Roman" w:hAnsi="Times New Roman" w:hint="eastAsia"/>
          <w:b/>
          <w:spacing w:val="10"/>
          <w:sz w:val="15"/>
          <w:szCs w:val="15"/>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w:t>
      </w:r>
      <w:r>
        <w:rPr>
          <w:rFonts w:ascii="Times New Roman" w:hAnsi="Times New Roman" w:hint="eastAsia"/>
          <w:b/>
          <w:spacing w:val="10"/>
          <w:sz w:val="15"/>
          <w:szCs w:val="15"/>
        </w:rPr>
        <w:t>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4528A9">
      <w:pPr>
        <w:numPr>
          <w:ilvl w:val="0"/>
          <w:numId w:val="12"/>
        </w:numPr>
        <w:spacing w:line="200" w:lineRule="exact"/>
        <w:ind w:firstLine="340"/>
        <w:rPr>
          <w:rFonts w:ascii="Times New Roman" w:hAnsi="Times New Roman"/>
          <w:bCs/>
          <w:spacing w:val="10"/>
          <w:sz w:val="15"/>
          <w:szCs w:val="15"/>
        </w:rPr>
      </w:pPr>
      <w:r>
        <w:rPr>
          <w:rFonts w:ascii="Times New Roman" w:hAnsi="Times New Roman"/>
          <w:bCs/>
          <w:spacing w:val="10"/>
          <w:sz w:val="15"/>
          <w:szCs w:val="15"/>
        </w:rPr>
        <w:t>免责条款</w:t>
      </w:r>
    </w:p>
    <w:p w:rsidR="00000000" w:rsidRDefault="004528A9">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w:t>
      </w:r>
      <w:r>
        <w:rPr>
          <w:rFonts w:ascii="Times New Roman" w:hAnsi="Times New Roman"/>
          <w:bCs/>
          <w:spacing w:val="10"/>
          <w:sz w:val="15"/>
          <w:szCs w:val="15"/>
        </w:rPr>
        <w:t>而造成的任何损失承担任何责任。</w:t>
      </w:r>
    </w:p>
    <w:p w:rsidR="00000000" w:rsidRDefault="004528A9">
      <w:pPr>
        <w:pStyle w:val="1"/>
        <w:numPr>
          <w:ilvl w:val="0"/>
          <w:numId w:val="13"/>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7" w:name="_Hlk41903042"/>
      <w:r>
        <w:rPr>
          <w:rFonts w:ascii="Times New Roman" w:hAnsi="Times New Roman"/>
          <w:bCs/>
          <w:spacing w:val="10"/>
          <w:sz w:val="15"/>
          <w:szCs w:val="15"/>
        </w:rPr>
        <w:t>地震、台风、海啸、洪水、火灾、停电、突发性公共卫生事件、</w:t>
      </w:r>
      <w:bookmarkStart w:id="28" w:name="_Hlk41862861"/>
      <w:bookmarkEnd w:id="27"/>
      <w:r>
        <w:rPr>
          <w:rFonts w:ascii="Times New Roman" w:hAnsi="Times New Roman"/>
          <w:bCs/>
          <w:spacing w:val="10"/>
          <w:sz w:val="15"/>
          <w:szCs w:val="15"/>
        </w:rPr>
        <w:t>罢工、内战、战争、军事行动、任何种类的恐怖活动、暴动、公众示威或抗议</w:t>
      </w:r>
      <w:bookmarkStart w:id="29" w:name="_Hlk41903076"/>
      <w:bookmarkEnd w:id="28"/>
      <w:r>
        <w:rPr>
          <w:rFonts w:ascii="Times New Roman" w:hAnsi="Times New Roman"/>
          <w:bCs/>
          <w:spacing w:val="10"/>
          <w:sz w:val="15"/>
          <w:szCs w:val="15"/>
        </w:rPr>
        <w:t>；新的适用法律或国家政策的颁布或实施、对原适用法律或国家政策的修改；</w:t>
      </w:r>
      <w:bookmarkStart w:id="30" w:name="_Hlk41862959"/>
      <w:bookmarkEnd w:id="29"/>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0"/>
      <w:r>
        <w:rPr>
          <w:rFonts w:ascii="Times New Roman" w:hAnsi="Times New Roman"/>
          <w:bCs/>
          <w:spacing w:val="10"/>
          <w:sz w:val="15"/>
          <w:szCs w:val="15"/>
        </w:rPr>
        <w:t>；</w:t>
      </w:r>
      <w:bookmarkStart w:id="31"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w:t>
      </w:r>
      <w:r>
        <w:rPr>
          <w:rFonts w:ascii="Times New Roman" w:hAnsi="Times New Roman"/>
          <w:bCs/>
          <w:spacing w:val="10"/>
          <w:sz w:val="15"/>
          <w:szCs w:val="15"/>
        </w:rPr>
        <w:t>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1"/>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r>
        <w:rPr>
          <w:rFonts w:ascii="Times New Roman" w:hAnsi="Times New Roman"/>
          <w:bCs/>
          <w:spacing w:val="10"/>
          <w:sz w:val="15"/>
          <w:szCs w:val="15"/>
        </w:rPr>
        <w:t>顺延至紧临的下一个不存在不可抗力的工作日。乙方将不会因此而收到额外的收益或者补偿。</w:t>
      </w:r>
    </w:p>
    <w:p w:rsidR="00000000" w:rsidRDefault="004528A9">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000000" w:rsidRDefault="004528A9">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000000" w:rsidRDefault="004528A9">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000000" w:rsidRDefault="004528A9">
      <w:pPr>
        <w:spacing w:line="200" w:lineRule="exact"/>
        <w:ind w:firstLineChars="200" w:firstLine="340"/>
        <w:rPr>
          <w:rFonts w:ascii="Times New Roman" w:hAnsi="Times New Roman"/>
          <w:spacing w:val="10"/>
          <w:sz w:val="15"/>
          <w:szCs w:val="15"/>
        </w:rPr>
      </w:pPr>
      <w:bookmarkStart w:id="32" w:name="_Hlk50135417"/>
      <w:r>
        <w:rPr>
          <w:rFonts w:ascii="Times New Roman" w:hAnsi="Times New Roman"/>
          <w:spacing w:val="10"/>
          <w:sz w:val="15"/>
          <w:szCs w:val="15"/>
        </w:rPr>
        <w:t>由于本协议一方当事人的过错，造成本协议不能履行或不能完全履行的，由有过错的一方承担违约责任；如双方同时负有过</w:t>
      </w:r>
      <w:r>
        <w:rPr>
          <w:rFonts w:ascii="Times New Roman" w:hAnsi="Times New Roman"/>
          <w:spacing w:val="10"/>
          <w:sz w:val="15"/>
          <w:szCs w:val="15"/>
        </w:rPr>
        <w:t>错，则应由双方各自按照过错程度承担责任。</w:t>
      </w:r>
      <w:bookmarkEnd w:id="32"/>
    </w:p>
    <w:p w:rsidR="00000000" w:rsidRDefault="004528A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w:t>
      </w:r>
      <w:r>
        <w:rPr>
          <w:rFonts w:ascii="Times New Roman" w:hAnsi="Times New Roman"/>
          <w:b/>
          <w:bCs/>
          <w:spacing w:val="10"/>
          <w:sz w:val="15"/>
          <w:szCs w:val="15"/>
        </w:rPr>
        <w:t>责任、损失或支出，甲方无需负责</w:t>
      </w:r>
      <w:r>
        <w:rPr>
          <w:rFonts w:ascii="Times New Roman" w:hAnsi="Times New Roman"/>
          <w:spacing w:val="10"/>
          <w:sz w:val="15"/>
          <w:szCs w:val="15"/>
        </w:rPr>
        <w:t>。</w:t>
      </w:r>
    </w:p>
    <w:p w:rsidR="00000000" w:rsidRDefault="004528A9">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抵销</w:t>
      </w:r>
    </w:p>
    <w:p w:rsidR="00000000" w:rsidRDefault="004528A9">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000000" w:rsidRDefault="004528A9">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w:t>
      </w:r>
      <w:r>
        <w:rPr>
          <w:rFonts w:ascii="Times New Roman" w:hAnsi="Times New Roman"/>
          <w:bCs/>
          <w:spacing w:val="10"/>
          <w:sz w:val="15"/>
          <w:szCs w:val="15"/>
        </w:rPr>
        <w:t>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000000" w:rsidRDefault="004528A9">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弃权</w:t>
      </w:r>
    </w:p>
    <w:p w:rsidR="00000000" w:rsidRDefault="004528A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00000" w:rsidRDefault="004528A9">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可分割性</w:t>
      </w:r>
    </w:p>
    <w:p w:rsidR="00000000" w:rsidRDefault="004528A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000000" w:rsidRDefault="004528A9">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税收条款</w:t>
      </w:r>
    </w:p>
    <w:p w:rsidR="00000000" w:rsidRDefault="004528A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000000" w:rsidRDefault="004528A9">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000000" w:rsidRDefault="004528A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w:t>
      </w:r>
      <w:r>
        <w:rPr>
          <w:rFonts w:ascii="Times New Roman" w:hAnsi="Times New Roman"/>
          <w:spacing w:val="10"/>
          <w:sz w:val="15"/>
          <w:szCs w:val="15"/>
        </w:rPr>
        <w:t>任何一方有权向甲方所在地有管辖权的人民法院提起诉讼。</w:t>
      </w:r>
    </w:p>
    <w:p w:rsidR="00000000" w:rsidRDefault="004528A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000000" w:rsidRDefault="004528A9">
      <w:pPr>
        <w:numPr>
          <w:ilvl w:val="0"/>
          <w:numId w:val="15"/>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000000" w:rsidRDefault="004528A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w:t>
      </w:r>
      <w:r>
        <w:rPr>
          <w:rFonts w:ascii="Times New Roman" w:hAnsi="Times New Roman"/>
          <w:spacing w:val="10"/>
          <w:sz w:val="15"/>
          <w:szCs w:val="15"/>
        </w:rPr>
        <w:t>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000000" w:rsidRDefault="004528A9">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000000" w:rsidRDefault="004528A9">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w:t>
      </w:r>
      <w:r>
        <w:rPr>
          <w:rFonts w:ascii="Times New Roman" w:hAnsi="Times New Roman"/>
          <w:spacing w:val="10"/>
          <w:sz w:val="15"/>
          <w:szCs w:val="15"/>
        </w:rPr>
        <w:t>不限于交易变更、金额变更、授权指定账户变更、投资者信息变更等），则以双方最近一次交易达成的交易内容为准。</w:t>
      </w:r>
    </w:p>
    <w:p w:rsidR="00000000" w:rsidRDefault="004528A9">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000000" w:rsidRDefault="004528A9">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w:t>
      </w:r>
      <w:r>
        <w:rPr>
          <w:rFonts w:ascii="Times New Roman" w:hAnsi="Times New Roman"/>
          <w:b/>
          <w:spacing w:val="10"/>
          <w:sz w:val="15"/>
          <w:szCs w:val="15"/>
        </w:rPr>
        <w:t>财产品可能面临的风险，并自愿承担相关风险，特此确认。</w:t>
      </w:r>
    </w:p>
    <w:p w:rsidR="00000000" w:rsidRDefault="004528A9">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00000" w:rsidRDefault="004528A9">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w:t>
      </w:r>
      <w:r>
        <w:rPr>
          <w:rFonts w:ascii="Times New Roman" w:hAnsi="Times New Roman"/>
          <w:b/>
          <w:bCs/>
          <w:spacing w:val="10"/>
          <w:sz w:val="15"/>
          <w:szCs w:val="15"/>
        </w:rPr>
        <w:t>》等理财产品销售文件的相关条款。</w:t>
      </w:r>
      <w:bookmarkStart w:id="33" w:name="_Toc313550351"/>
    </w:p>
    <w:p w:rsidR="00000000" w:rsidRDefault="004528A9">
      <w:pPr>
        <w:spacing w:line="200" w:lineRule="exact"/>
        <w:ind w:firstLineChars="200" w:firstLine="340"/>
        <w:rPr>
          <w:rFonts w:ascii="Times New Roman" w:hAnsi="Times New Roman"/>
          <w:spacing w:val="10"/>
          <w:sz w:val="15"/>
          <w:szCs w:val="15"/>
        </w:rPr>
      </w:pPr>
    </w:p>
    <w:p w:rsidR="00000000" w:rsidRDefault="004528A9">
      <w:pPr>
        <w:spacing w:line="200" w:lineRule="exact"/>
        <w:ind w:firstLineChars="200" w:firstLine="340"/>
        <w:rPr>
          <w:rFonts w:ascii="Times New Roman" w:hAnsi="Times New Roman"/>
          <w:spacing w:val="10"/>
          <w:sz w:val="15"/>
          <w:szCs w:val="15"/>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1"/>
        <w:gridCol w:w="5341"/>
      </w:tblGrid>
      <w:tr w:rsidR="00000000">
        <w:tc>
          <w:tcPr>
            <w:tcW w:w="5341" w:type="dxa"/>
          </w:tcPr>
          <w:p w:rsidR="00000000" w:rsidRDefault="004528A9">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tcPr>
          <w:p w:rsidR="00000000" w:rsidRDefault="004528A9">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000000">
        <w:tc>
          <w:tcPr>
            <w:tcW w:w="5341" w:type="dxa"/>
          </w:tcPr>
          <w:p w:rsidR="00000000" w:rsidRDefault="004528A9">
            <w:pPr>
              <w:spacing w:line="200" w:lineRule="exact"/>
              <w:ind w:firstLineChars="200" w:firstLine="340"/>
              <w:rPr>
                <w:rFonts w:ascii="Times New Roman" w:hAnsi="Times New Roman"/>
                <w:spacing w:val="10"/>
                <w:sz w:val="15"/>
                <w:szCs w:val="15"/>
              </w:rPr>
            </w:pPr>
          </w:p>
          <w:p w:rsidR="00000000" w:rsidRDefault="004528A9">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000000" w:rsidRDefault="004528A9">
            <w:pPr>
              <w:spacing w:line="200" w:lineRule="exact"/>
              <w:ind w:firstLineChars="400" w:firstLine="680"/>
              <w:rPr>
                <w:rFonts w:ascii="Times New Roman" w:hAnsi="Times New Roman"/>
                <w:spacing w:val="10"/>
                <w:sz w:val="15"/>
                <w:szCs w:val="15"/>
              </w:rPr>
            </w:pPr>
          </w:p>
          <w:p w:rsidR="00000000" w:rsidRDefault="004528A9">
            <w:pPr>
              <w:spacing w:line="200" w:lineRule="exact"/>
              <w:ind w:firstLineChars="500" w:firstLine="850"/>
              <w:rPr>
                <w:rFonts w:ascii="Times New Roman" w:hAnsi="Times New Roman"/>
                <w:spacing w:val="10"/>
                <w:sz w:val="15"/>
                <w:szCs w:val="15"/>
              </w:rPr>
            </w:pPr>
          </w:p>
          <w:p w:rsidR="00000000" w:rsidRDefault="004528A9">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tcPr>
          <w:p w:rsidR="00000000" w:rsidRDefault="004528A9">
            <w:pPr>
              <w:spacing w:line="200" w:lineRule="exact"/>
              <w:ind w:firstLineChars="200" w:firstLine="340"/>
              <w:rPr>
                <w:rFonts w:ascii="Times New Roman" w:hAnsi="Times New Roman"/>
                <w:spacing w:val="10"/>
                <w:sz w:val="15"/>
                <w:szCs w:val="15"/>
              </w:rPr>
            </w:pPr>
          </w:p>
          <w:p w:rsidR="00000000" w:rsidRDefault="004528A9">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000000" w:rsidRDefault="004528A9">
            <w:pPr>
              <w:spacing w:line="200" w:lineRule="exact"/>
              <w:rPr>
                <w:rFonts w:ascii="Times New Roman" w:hAnsi="Times New Roman"/>
                <w:spacing w:val="10"/>
                <w:sz w:val="15"/>
                <w:szCs w:val="15"/>
              </w:rPr>
            </w:pPr>
          </w:p>
          <w:p w:rsidR="00000000" w:rsidRDefault="004528A9">
            <w:pPr>
              <w:spacing w:line="200" w:lineRule="exact"/>
              <w:rPr>
                <w:rFonts w:ascii="Times New Roman" w:hAnsi="Times New Roman"/>
                <w:spacing w:val="10"/>
                <w:sz w:val="15"/>
                <w:szCs w:val="15"/>
              </w:rPr>
            </w:pPr>
          </w:p>
          <w:p w:rsidR="00000000" w:rsidRDefault="004528A9">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000000" w:rsidRDefault="004528A9">
            <w:pPr>
              <w:spacing w:line="200" w:lineRule="exact"/>
              <w:ind w:firstLineChars="400" w:firstLine="680"/>
              <w:rPr>
                <w:rFonts w:ascii="Times New Roman" w:hAnsi="Times New Roman"/>
                <w:spacing w:val="10"/>
                <w:sz w:val="15"/>
                <w:szCs w:val="15"/>
              </w:rPr>
            </w:pPr>
          </w:p>
          <w:p w:rsidR="00000000" w:rsidRDefault="004528A9">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000000" w:rsidRDefault="004528A9">
      <w:pPr>
        <w:spacing w:line="200" w:lineRule="exact"/>
        <w:rPr>
          <w:rFonts w:ascii="Times New Roman" w:hAnsi="Times New Roman"/>
          <w:spacing w:val="10"/>
          <w:sz w:val="15"/>
          <w:szCs w:val="15"/>
        </w:rPr>
      </w:pPr>
    </w:p>
    <w:bookmarkEnd w:id="33"/>
    <w:p w:rsidR="00000000" w:rsidRDefault="004528A9">
      <w:pPr>
        <w:jc w:val="center"/>
        <w:rPr>
          <w:rFonts w:ascii="黑体" w:eastAsia="黑体" w:hAnsi="宋体"/>
          <w:b/>
          <w:bCs/>
          <w:sz w:val="24"/>
          <w:szCs w:val="15"/>
        </w:rPr>
      </w:pPr>
      <w:r>
        <w:rPr>
          <w:rFonts w:ascii="Times New Roman" w:hAnsi="Times New Roman"/>
        </w:rPr>
        <w:br w:type="page"/>
      </w:r>
      <w:r>
        <w:rPr>
          <w:rFonts w:ascii="黑体" w:eastAsia="黑体" w:hAnsi="宋体" w:hint="eastAsia"/>
          <w:b/>
          <w:bCs/>
          <w:sz w:val="24"/>
          <w:szCs w:val="15"/>
        </w:rPr>
        <w:t>投资者权益须知</w:t>
      </w:r>
    </w:p>
    <w:p w:rsidR="00000000" w:rsidRDefault="004528A9">
      <w:pPr>
        <w:ind w:firstLineChars="200" w:firstLine="321"/>
        <w:jc w:val="center"/>
        <w:rPr>
          <w:rFonts w:ascii="宋体" w:hAnsi="宋体"/>
          <w:b/>
          <w:i/>
          <w:sz w:val="16"/>
          <w:szCs w:val="15"/>
          <w:u w:val="single"/>
        </w:rPr>
      </w:pPr>
    </w:p>
    <w:p w:rsidR="00000000" w:rsidRDefault="004528A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00000" w:rsidRDefault="004528A9">
      <w:pPr>
        <w:pStyle w:val="a7"/>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rsidR="00000000" w:rsidRDefault="004528A9">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w:t>
      </w:r>
      <w:r>
        <w:rPr>
          <w:rFonts w:hint="eastAsia"/>
          <w:color w:val="auto"/>
          <w:spacing w:val="10"/>
          <w:kern w:val="2"/>
          <w:sz w:val="15"/>
          <w:szCs w:val="15"/>
        </w:rPr>
        <w:t>权益，请在投资本理财产品前认真阅读以下内容：</w:t>
      </w:r>
    </w:p>
    <w:p w:rsidR="00000000" w:rsidRDefault="004528A9">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w:t>
      </w:r>
      <w:r>
        <w:rPr>
          <w:rFonts w:hint="eastAsia"/>
          <w:color w:val="auto"/>
          <w:spacing w:val="10"/>
          <w:kern w:val="2"/>
          <w:sz w:val="15"/>
          <w:szCs w:val="15"/>
          <w:highlight w:val="yellow"/>
        </w:rPr>
        <w:t>并由</w:t>
      </w:r>
      <w:permStart w:id="1093356693" w:edGrp="everyone"/>
      <w:r>
        <w:rPr>
          <w:rFonts w:hint="eastAsia"/>
          <w:color w:val="auto"/>
          <w:spacing w:val="10"/>
          <w:kern w:val="2"/>
          <w:sz w:val="15"/>
          <w:szCs w:val="15"/>
          <w:highlight w:val="yellow"/>
        </w:rPr>
        <w:t xml:space="preserve"> </w:t>
      </w:r>
      <w:r>
        <w:rPr>
          <w:rFonts w:hint="eastAsia"/>
          <w:spacing w:val="10"/>
          <w:sz w:val="15"/>
          <w:szCs w:val="15"/>
          <w:highlight w:val="yellow"/>
        </w:rPr>
        <w:t>海南银行股份有限公司</w:t>
      </w:r>
      <w:r>
        <w:rPr>
          <w:rFonts w:hint="eastAsia"/>
          <w:color w:val="auto"/>
          <w:spacing w:val="10"/>
          <w:kern w:val="2"/>
          <w:sz w:val="15"/>
          <w:szCs w:val="15"/>
          <w:highlight w:val="yellow"/>
        </w:rPr>
        <w:t xml:space="preserve"> </w:t>
      </w:r>
      <w:permEnd w:id="1093356693"/>
      <w:r>
        <w:rPr>
          <w:rFonts w:hint="eastAsia"/>
          <w:color w:val="auto"/>
          <w:spacing w:val="10"/>
          <w:kern w:val="2"/>
          <w:sz w:val="15"/>
          <w:szCs w:val="15"/>
          <w:highlight w:val="yellow"/>
        </w:rPr>
        <w:t>（</w:t>
      </w:r>
      <w:r>
        <w:rPr>
          <w:rFonts w:hint="eastAsia"/>
          <w:color w:val="auto"/>
          <w:spacing w:val="10"/>
          <w:kern w:val="2"/>
          <w:sz w:val="15"/>
          <w:szCs w:val="15"/>
        </w:rPr>
        <w:t>以下简称“销售机构”）销售的理财产品。</w:t>
      </w:r>
    </w:p>
    <w:p w:rsidR="00000000" w:rsidRDefault="004528A9">
      <w:pPr>
        <w:pStyle w:val="a7"/>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rsidR="00000000" w:rsidRDefault="004528A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00000" w:rsidRDefault="004528A9">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rsidR="00000000" w:rsidRDefault="004528A9">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w:t>
      </w:r>
      <w:r>
        <w:rPr>
          <w:rFonts w:hint="eastAsia"/>
          <w:bCs/>
          <w:color w:val="auto"/>
          <w:spacing w:val="10"/>
          <w:kern w:val="2"/>
          <w:sz w:val="15"/>
          <w:szCs w:val="15"/>
        </w:rPr>
        <w:t>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rsidR="00000000" w:rsidRDefault="004528A9">
      <w:pPr>
        <w:pStyle w:val="a7"/>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rsidR="00000000" w:rsidRDefault="004528A9">
      <w:pPr>
        <w:pStyle w:val="a7"/>
        <w:spacing w:before="0" w:after="0" w:line="240" w:lineRule="auto"/>
        <w:ind w:firstLineChars="204" w:firstLine="347"/>
        <w:jc w:val="both"/>
        <w:rPr>
          <w:rFonts w:hint="eastAsia"/>
          <w:color w:val="auto"/>
          <w:spacing w:val="10"/>
          <w:kern w:val="2"/>
          <w:sz w:val="15"/>
          <w:szCs w:val="15"/>
        </w:rPr>
      </w:pPr>
      <w:permStart w:id="1676233471" w:edGrp="everyone"/>
    </w:p>
    <w:p w:rsidR="00000000" w:rsidRDefault="004528A9">
      <w:pPr>
        <w:pStyle w:val="a7"/>
        <w:spacing w:before="0" w:after="0" w:line="240" w:lineRule="auto"/>
        <w:ind w:firstLineChars="204" w:firstLine="347"/>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、理财签约</w:t>
      </w:r>
    </w:p>
    <w:p w:rsidR="00000000" w:rsidRDefault="004528A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首次购买理财的个人投资者须进行风险承受能力评估（详见第二条）和理财签约。</w:t>
      </w:r>
    </w:p>
    <w:p w:rsidR="00000000" w:rsidRDefault="004528A9">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w:t>
      </w:r>
    </w:p>
    <w:p w:rsidR="00000000" w:rsidRDefault="004528A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个人投资者自主决定是否购买理财产品。在理财产品募集期</w:t>
      </w:r>
      <w:r>
        <w:rPr>
          <w:bCs/>
          <w:color w:val="auto"/>
          <w:spacing w:val="10"/>
          <w:kern w:val="2"/>
          <w:sz w:val="15"/>
          <w:szCs w:val="15"/>
        </w:rPr>
        <w:t>/</w:t>
      </w:r>
      <w:r>
        <w:rPr>
          <w:rFonts w:hint="eastAsia"/>
          <w:bCs/>
          <w:color w:val="auto"/>
          <w:spacing w:val="10"/>
          <w:kern w:val="2"/>
          <w:sz w:val="15"/>
          <w:szCs w:val="15"/>
        </w:rPr>
        <w:t>开放期销售时段内，个</w:t>
      </w:r>
      <w:r>
        <w:rPr>
          <w:rFonts w:hint="eastAsia"/>
          <w:bCs/>
          <w:color w:val="auto"/>
          <w:spacing w:val="10"/>
          <w:kern w:val="2"/>
          <w:sz w:val="15"/>
          <w:szCs w:val="15"/>
        </w:rPr>
        <w:t>人投资者需通过</w:t>
      </w:r>
      <w:r>
        <w:rPr>
          <w:rFonts w:hint="eastAsia"/>
          <w:bCs/>
          <w:color w:val="auto"/>
          <w:spacing w:val="10"/>
          <w:kern w:val="2"/>
          <w:sz w:val="15"/>
          <w:szCs w:val="15"/>
        </w:rPr>
        <w:t>相关销售</w:t>
      </w:r>
      <w:r>
        <w:rPr>
          <w:rFonts w:hint="eastAsia"/>
          <w:bCs/>
          <w:color w:val="auto"/>
          <w:spacing w:val="10"/>
          <w:kern w:val="2"/>
          <w:sz w:val="15"/>
          <w:szCs w:val="15"/>
        </w:rPr>
        <w:t>渠道仔细阅读理财产品销售文件，根据认购</w:t>
      </w:r>
      <w:r>
        <w:rPr>
          <w:bCs/>
          <w:color w:val="auto"/>
          <w:spacing w:val="10"/>
          <w:kern w:val="2"/>
          <w:sz w:val="15"/>
          <w:szCs w:val="15"/>
        </w:rPr>
        <w:t>/</w:t>
      </w:r>
      <w:r>
        <w:rPr>
          <w:rFonts w:hint="eastAsia"/>
          <w:bCs/>
          <w:color w:val="auto"/>
          <w:spacing w:val="10"/>
          <w:kern w:val="2"/>
          <w:sz w:val="15"/>
          <w:szCs w:val="15"/>
        </w:rPr>
        <w:t>申购流程逐项点击确认进行购买，认</w:t>
      </w:r>
      <w:r>
        <w:rPr>
          <w:bCs/>
          <w:color w:val="auto"/>
          <w:spacing w:val="10"/>
          <w:kern w:val="2"/>
          <w:sz w:val="15"/>
          <w:szCs w:val="15"/>
        </w:rPr>
        <w:t>/</w:t>
      </w:r>
      <w:r>
        <w:rPr>
          <w:rFonts w:hint="eastAsia"/>
          <w:bCs/>
          <w:color w:val="auto"/>
          <w:spacing w:val="10"/>
          <w:kern w:val="2"/>
          <w:sz w:val="15"/>
          <w:szCs w:val="15"/>
        </w:rPr>
        <w:t>申购结果以在该</w:t>
      </w:r>
      <w:r>
        <w:rPr>
          <w:rFonts w:hint="eastAsia"/>
          <w:bCs/>
          <w:color w:val="auto"/>
          <w:spacing w:val="10"/>
          <w:kern w:val="2"/>
          <w:sz w:val="15"/>
          <w:szCs w:val="15"/>
        </w:rPr>
        <w:t>销售</w:t>
      </w:r>
      <w:r>
        <w:rPr>
          <w:rFonts w:hint="eastAsia"/>
          <w:bCs/>
          <w:color w:val="auto"/>
          <w:spacing w:val="10"/>
          <w:kern w:val="2"/>
          <w:sz w:val="15"/>
          <w:szCs w:val="15"/>
        </w:rPr>
        <w:t>渠道的查询结果为准。</w:t>
      </w:r>
    </w:p>
    <w:p w:rsidR="00000000" w:rsidRDefault="004528A9">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申购申请撤销。个人投资者在理财产品认购期</w:t>
      </w:r>
      <w:r>
        <w:rPr>
          <w:bCs/>
          <w:color w:val="auto"/>
          <w:spacing w:val="10"/>
          <w:kern w:val="2"/>
          <w:sz w:val="15"/>
          <w:szCs w:val="15"/>
        </w:rPr>
        <w:t>/</w:t>
      </w:r>
      <w:r>
        <w:rPr>
          <w:rFonts w:hint="eastAsia"/>
          <w:bCs/>
          <w:color w:val="auto"/>
          <w:spacing w:val="10"/>
          <w:kern w:val="2"/>
          <w:sz w:val="15"/>
          <w:szCs w:val="15"/>
        </w:rPr>
        <w:t>募集期</w:t>
      </w:r>
      <w:r>
        <w:rPr>
          <w:bCs/>
          <w:color w:val="auto"/>
          <w:spacing w:val="10"/>
          <w:kern w:val="2"/>
          <w:sz w:val="15"/>
          <w:szCs w:val="15"/>
        </w:rPr>
        <w:t>/</w:t>
      </w:r>
      <w:r>
        <w:rPr>
          <w:rFonts w:hint="eastAsia"/>
          <w:bCs/>
          <w:color w:val="auto"/>
          <w:spacing w:val="10"/>
          <w:kern w:val="2"/>
          <w:sz w:val="15"/>
          <w:szCs w:val="15"/>
        </w:rPr>
        <w:t>开放期</w:t>
      </w:r>
      <w:r>
        <w:rPr>
          <w:bCs/>
          <w:color w:val="auto"/>
          <w:spacing w:val="10"/>
          <w:kern w:val="2"/>
          <w:sz w:val="15"/>
          <w:szCs w:val="15"/>
        </w:rPr>
        <w:t>/</w:t>
      </w:r>
      <w:r>
        <w:rPr>
          <w:rFonts w:hint="eastAsia"/>
          <w:bCs/>
          <w:color w:val="auto"/>
          <w:spacing w:val="10"/>
          <w:kern w:val="2"/>
          <w:sz w:val="15"/>
          <w:szCs w:val="15"/>
        </w:rPr>
        <w:t>投资冷静期（私募产品适用）内，可以撤销理财产品相应的认</w:t>
      </w:r>
      <w:r>
        <w:rPr>
          <w:bCs/>
          <w:color w:val="auto"/>
          <w:spacing w:val="10"/>
          <w:kern w:val="2"/>
          <w:sz w:val="15"/>
          <w:szCs w:val="15"/>
        </w:rPr>
        <w:t>/</w:t>
      </w:r>
      <w:r>
        <w:rPr>
          <w:rFonts w:hint="eastAsia"/>
          <w:bCs/>
          <w:color w:val="auto"/>
          <w:spacing w:val="10"/>
          <w:kern w:val="2"/>
          <w:sz w:val="15"/>
          <w:szCs w:val="15"/>
        </w:rPr>
        <w:t>申购申请。</w:t>
      </w:r>
    </w:p>
    <w:p w:rsidR="00000000" w:rsidRDefault="004528A9">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4</w:t>
      </w:r>
      <w:r>
        <w:rPr>
          <w:rFonts w:hint="eastAsia"/>
          <w:bCs/>
          <w:color w:val="auto"/>
          <w:spacing w:val="10"/>
          <w:kern w:val="2"/>
          <w:sz w:val="15"/>
          <w:szCs w:val="15"/>
        </w:rPr>
        <w:t>、理财产品提前终止、赎回</w:t>
      </w:r>
      <w:r>
        <w:rPr>
          <w:bCs/>
          <w:color w:val="auto"/>
          <w:spacing w:val="10"/>
          <w:kern w:val="2"/>
          <w:sz w:val="15"/>
          <w:szCs w:val="15"/>
        </w:rPr>
        <w:t>/</w:t>
      </w:r>
      <w:r>
        <w:rPr>
          <w:rFonts w:hint="eastAsia"/>
          <w:bCs/>
          <w:color w:val="auto"/>
          <w:spacing w:val="10"/>
          <w:kern w:val="2"/>
          <w:sz w:val="15"/>
          <w:szCs w:val="15"/>
        </w:rPr>
        <w:t>到期兑付和税收。</w:t>
      </w:r>
    </w:p>
    <w:p w:rsidR="00000000" w:rsidRDefault="004528A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提前终止—当理财产品发生全部提前终止时，南银理财和代销机构应当按照对应期次理财产品销售文件约定的方式向个人投资者告知相应理财产品的提前终止事宜。</w:t>
      </w:r>
    </w:p>
    <w:p w:rsidR="00000000" w:rsidRDefault="004528A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赎回</w:t>
      </w:r>
      <w:r>
        <w:rPr>
          <w:bCs/>
          <w:color w:val="auto"/>
          <w:spacing w:val="10"/>
          <w:kern w:val="2"/>
          <w:sz w:val="15"/>
          <w:szCs w:val="15"/>
        </w:rPr>
        <w:t>/</w:t>
      </w:r>
      <w:r>
        <w:rPr>
          <w:rFonts w:hint="eastAsia"/>
          <w:bCs/>
          <w:color w:val="auto"/>
          <w:spacing w:val="10"/>
          <w:kern w:val="2"/>
          <w:sz w:val="15"/>
          <w:szCs w:val="15"/>
        </w:rPr>
        <w:t>到期兑付—南银理财和代销机构应当按照</w:t>
      </w:r>
      <w:r>
        <w:rPr>
          <w:rFonts w:hint="eastAsia"/>
          <w:bCs/>
          <w:color w:val="auto"/>
          <w:spacing w:val="10"/>
          <w:kern w:val="2"/>
          <w:sz w:val="15"/>
          <w:szCs w:val="15"/>
        </w:rPr>
        <w:t>对应期次的理财产品销售文件的相关约定，将赎回兑付款项划入销售文件约定的个人投资者授权指定账户。如果发生特殊情形，造成本理财产品的投资资产无法及时、足额变现，南银理财可以根据实际情况选择向个人投资者提前兑付、延迟兑付或者分次兑付，并及时根据法律法规的要求向个人投资者披露兑付方案。</w:t>
      </w:r>
    </w:p>
    <w:p w:rsidR="00000000" w:rsidRDefault="004528A9">
      <w:pPr>
        <w:pStyle w:val="a7"/>
        <w:spacing w:before="0" w:after="0" w:line="240" w:lineRule="auto"/>
        <w:ind w:firstLineChars="200" w:firstLine="340"/>
        <w:jc w:val="both"/>
        <w:rPr>
          <w:rFonts w:hint="eastAsia"/>
          <w:b/>
          <w:color w:val="auto"/>
          <w:spacing w:val="10"/>
          <w:kern w:val="2"/>
          <w:sz w:val="15"/>
          <w:szCs w:val="15"/>
        </w:rPr>
      </w:pPr>
      <w:r>
        <w:rPr>
          <w:rFonts w:hint="eastAsia"/>
          <w:bCs/>
          <w:color w:val="auto"/>
          <w:spacing w:val="10"/>
          <w:kern w:val="2"/>
          <w:sz w:val="15"/>
          <w:szCs w:val="15"/>
        </w:rPr>
        <w:t>税收—以对应期次的《理财产品说明书》约定的税务处理方式为准，如遇国家政策调整则相应执行最新政策。</w:t>
      </w:r>
    </w:p>
    <w:permEnd w:id="1676233471"/>
    <w:p w:rsidR="00000000" w:rsidRDefault="004528A9">
      <w:pPr>
        <w:pStyle w:val="a7"/>
        <w:spacing w:before="0" w:after="0" w:line="240" w:lineRule="auto"/>
        <w:ind w:firstLine="480"/>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rsidR="00000000" w:rsidRDefault="004528A9">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rsidR="00000000" w:rsidRDefault="004528A9">
      <w:pPr>
        <w:pStyle w:val="a7"/>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w:t>
      </w:r>
      <w:r>
        <w:rPr>
          <w:rFonts w:hint="eastAsia"/>
          <w:bCs/>
          <w:color w:val="auto"/>
          <w:spacing w:val="10"/>
          <w:kern w:val="2"/>
          <w:sz w:val="15"/>
          <w:szCs w:val="15"/>
        </w:rPr>
        <w:t>售机构的要求进行风险承受能力评估。</w:t>
      </w:r>
    </w:p>
    <w:p w:rsidR="00000000" w:rsidRDefault="004528A9">
      <w:pPr>
        <w:pStyle w:val="a7"/>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00000" w:rsidRDefault="004528A9">
      <w:pPr>
        <w:pStyle w:val="a7"/>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rsidR="00000000" w:rsidRDefault="004528A9">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rsidR="00000000" w:rsidRDefault="004528A9">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rsidR="00000000" w:rsidRDefault="004528A9">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rsidR="00000000" w:rsidRDefault="004528A9">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rsidR="00000000" w:rsidRDefault="004528A9">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w:t>
      </w:r>
      <w:r>
        <w:rPr>
          <w:rFonts w:hint="eastAsia"/>
          <w:bCs/>
          <w:color w:val="auto"/>
          <w:spacing w:val="10"/>
          <w:kern w:val="2"/>
          <w:sz w:val="15"/>
          <w:szCs w:val="15"/>
        </w:rPr>
        <w:t>能力的情况，再次购买理财产品时应当主动要求销售机构对其进行风险承受能力评估。</w:t>
      </w:r>
    </w:p>
    <w:p w:rsidR="00000000" w:rsidRDefault="004528A9">
      <w:pPr>
        <w:pStyle w:val="a7"/>
        <w:spacing w:before="0" w:after="0" w:line="240" w:lineRule="auto"/>
        <w:ind w:firstLineChars="200" w:firstLine="340"/>
        <w:jc w:val="both"/>
        <w:rPr>
          <w:color w:val="auto"/>
          <w:spacing w:val="10"/>
          <w:kern w:val="2"/>
          <w:sz w:val="15"/>
          <w:szCs w:val="15"/>
          <w:highlight w:val="yellow"/>
        </w:rPr>
      </w:pPr>
      <w:r>
        <w:rPr>
          <w:rFonts w:hint="eastAsia"/>
          <w:color w:val="auto"/>
          <w:spacing w:val="10"/>
          <w:kern w:val="2"/>
          <w:sz w:val="15"/>
          <w:szCs w:val="15"/>
          <w:highlight w:val="yellow"/>
        </w:rPr>
        <w:t>评级具体含义说明。投资者风险承受能力评估结果的含义如下：</w:t>
      </w:r>
    </w:p>
    <w:p w:rsidR="00000000" w:rsidRDefault="004528A9">
      <w:pPr>
        <w:pStyle w:val="a7"/>
        <w:spacing w:before="0" w:after="0" w:line="240" w:lineRule="auto"/>
        <w:ind w:firstLine="478"/>
        <w:jc w:val="both"/>
        <w:rPr>
          <w:rFonts w:hint="eastAsia"/>
          <w:bCs/>
          <w:color w:val="auto"/>
          <w:spacing w:val="10"/>
          <w:kern w:val="2"/>
          <w:sz w:val="15"/>
          <w:szCs w:val="15"/>
        </w:rPr>
      </w:pPr>
      <w:permStart w:id="1040133060"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保守型投资者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总体风险程度低，</w:t>
      </w:r>
      <w:r>
        <w:rPr>
          <w:rFonts w:hint="eastAsia"/>
          <w:bCs/>
          <w:color w:val="auto"/>
          <w:spacing w:val="10"/>
          <w:kern w:val="2"/>
          <w:sz w:val="15"/>
          <w:szCs w:val="15"/>
        </w:rPr>
        <w:t>投资风格谨慎，</w:t>
      </w:r>
      <w:r>
        <w:rPr>
          <w:rFonts w:hint="eastAsia"/>
          <w:bCs/>
          <w:color w:val="auto"/>
          <w:spacing w:val="10"/>
          <w:kern w:val="2"/>
          <w:sz w:val="15"/>
          <w:szCs w:val="15"/>
        </w:rPr>
        <w:t>您适合投资的</w:t>
      </w:r>
      <w:r>
        <w:rPr>
          <w:rFonts w:hint="eastAsia"/>
          <w:bCs/>
          <w:color w:val="auto"/>
          <w:spacing w:val="10"/>
          <w:kern w:val="2"/>
          <w:sz w:val="15"/>
          <w:szCs w:val="15"/>
        </w:rPr>
        <w:t>产品本金和收益受市场、政策等因素变化的影响极低。净值型产品发生净值回撤的概率极低，无法实现业绩基准的可能性极低。</w:t>
      </w:r>
    </w:p>
    <w:p w:rsidR="00000000" w:rsidRDefault="004528A9">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谨慎</w:t>
      </w:r>
      <w:r>
        <w:rPr>
          <w:rFonts w:hint="eastAsia"/>
          <w:bCs/>
          <w:color w:val="auto"/>
          <w:spacing w:val="10"/>
          <w:kern w:val="2"/>
          <w:sz w:val="15"/>
          <w:szCs w:val="15"/>
        </w:rPr>
        <w:t>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总体风险程度较低，投资风格</w:t>
      </w:r>
      <w:r>
        <w:rPr>
          <w:rFonts w:hint="eastAsia"/>
          <w:bCs/>
          <w:color w:val="auto"/>
          <w:spacing w:val="10"/>
          <w:kern w:val="2"/>
          <w:sz w:val="15"/>
          <w:szCs w:val="15"/>
        </w:rPr>
        <w:t>稳健</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可能</w:t>
      </w:r>
      <w:r>
        <w:rPr>
          <w:rFonts w:hint="eastAsia"/>
          <w:bCs/>
          <w:color w:val="auto"/>
          <w:spacing w:val="10"/>
          <w:kern w:val="2"/>
          <w:sz w:val="15"/>
          <w:szCs w:val="15"/>
        </w:rPr>
        <w:t>发生</w:t>
      </w:r>
      <w:r>
        <w:rPr>
          <w:rFonts w:hint="eastAsia"/>
          <w:bCs/>
          <w:color w:val="auto"/>
          <w:spacing w:val="10"/>
          <w:kern w:val="2"/>
          <w:sz w:val="15"/>
          <w:szCs w:val="15"/>
        </w:rPr>
        <w:t>小幅</w:t>
      </w:r>
      <w:r>
        <w:rPr>
          <w:rFonts w:hint="eastAsia"/>
          <w:bCs/>
          <w:color w:val="auto"/>
          <w:spacing w:val="10"/>
          <w:kern w:val="2"/>
          <w:sz w:val="15"/>
          <w:szCs w:val="15"/>
        </w:rPr>
        <w:t>回撤</w:t>
      </w:r>
      <w:r>
        <w:rPr>
          <w:rFonts w:hint="eastAsia"/>
          <w:bCs/>
          <w:color w:val="auto"/>
          <w:spacing w:val="10"/>
          <w:kern w:val="2"/>
          <w:sz w:val="15"/>
          <w:szCs w:val="15"/>
        </w:rPr>
        <w:t>，本金出现损失的可能性较低，</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p>
    <w:p w:rsidR="00000000" w:rsidRDefault="004528A9">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稳健</w:t>
      </w:r>
      <w:r>
        <w:rPr>
          <w:rFonts w:hint="eastAsia"/>
          <w:bCs/>
          <w:color w:val="auto"/>
          <w:spacing w:val="10"/>
          <w:kern w:val="2"/>
          <w:sz w:val="15"/>
          <w:szCs w:val="15"/>
        </w:rPr>
        <w:t>型投资者：</w:t>
      </w:r>
      <w:r>
        <w:rPr>
          <w:rFonts w:hint="eastAsia"/>
          <w:bCs/>
          <w:color w:val="auto"/>
          <w:spacing w:val="10"/>
          <w:kern w:val="2"/>
          <w:sz w:val="15"/>
          <w:szCs w:val="15"/>
        </w:rPr>
        <w:t>您的</w:t>
      </w:r>
      <w:r>
        <w:rPr>
          <w:rFonts w:hint="eastAsia"/>
          <w:bCs/>
          <w:color w:val="auto"/>
          <w:spacing w:val="10"/>
          <w:kern w:val="2"/>
          <w:sz w:val="15"/>
          <w:szCs w:val="15"/>
        </w:rPr>
        <w:t>总体风</w:t>
      </w:r>
      <w:r>
        <w:rPr>
          <w:rFonts w:hint="eastAsia"/>
          <w:bCs/>
          <w:color w:val="auto"/>
          <w:spacing w:val="10"/>
          <w:kern w:val="2"/>
          <w:sz w:val="15"/>
          <w:szCs w:val="15"/>
        </w:rPr>
        <w:t>险程度适中，投资风格</w:t>
      </w:r>
      <w:r>
        <w:rPr>
          <w:rFonts w:hint="eastAsia"/>
          <w:bCs/>
          <w:color w:val="auto"/>
          <w:spacing w:val="10"/>
          <w:kern w:val="2"/>
          <w:sz w:val="15"/>
          <w:szCs w:val="15"/>
        </w:rPr>
        <w:t>中性</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跟随市场情况和投资策略有所波动，</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，也面临一定程度的本金风险</w:t>
      </w:r>
      <w:r>
        <w:rPr>
          <w:rFonts w:hint="eastAsia"/>
          <w:bCs/>
          <w:color w:val="auto"/>
          <w:spacing w:val="10"/>
          <w:kern w:val="2"/>
          <w:sz w:val="15"/>
          <w:szCs w:val="15"/>
        </w:rPr>
        <w:t>。</w:t>
      </w:r>
    </w:p>
    <w:p w:rsidR="00000000" w:rsidRDefault="004528A9">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进取型投资者：您的</w:t>
      </w:r>
      <w:r>
        <w:rPr>
          <w:rFonts w:hint="eastAsia"/>
          <w:bCs/>
          <w:color w:val="auto"/>
          <w:spacing w:val="10"/>
          <w:kern w:val="2"/>
          <w:sz w:val="15"/>
          <w:szCs w:val="15"/>
        </w:rPr>
        <w:t>总体风险程度较高，投资风格</w:t>
      </w:r>
      <w:r>
        <w:rPr>
          <w:rFonts w:hint="eastAsia"/>
          <w:bCs/>
          <w:color w:val="auto"/>
          <w:spacing w:val="10"/>
          <w:kern w:val="2"/>
          <w:sz w:val="15"/>
          <w:szCs w:val="15"/>
        </w:rPr>
        <w:t>积极</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跟随市场情况和投资策略有明显波动，</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较大，产品本金风险不容忽视</w:t>
      </w:r>
      <w:r>
        <w:rPr>
          <w:rFonts w:hint="eastAsia"/>
          <w:bCs/>
          <w:color w:val="auto"/>
          <w:spacing w:val="10"/>
          <w:kern w:val="2"/>
          <w:sz w:val="15"/>
          <w:szCs w:val="15"/>
        </w:rPr>
        <w:t>。</w:t>
      </w:r>
    </w:p>
    <w:p w:rsidR="00000000" w:rsidRDefault="004528A9">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积极型投资者：您的</w:t>
      </w:r>
      <w:r>
        <w:rPr>
          <w:rFonts w:hint="eastAsia"/>
          <w:bCs/>
          <w:color w:val="auto"/>
          <w:spacing w:val="10"/>
          <w:kern w:val="2"/>
          <w:sz w:val="15"/>
          <w:szCs w:val="15"/>
        </w:rPr>
        <w:t>总体风险程度高，投资风格</w:t>
      </w:r>
      <w:r>
        <w:rPr>
          <w:rFonts w:hint="eastAsia"/>
          <w:bCs/>
          <w:color w:val="auto"/>
          <w:spacing w:val="10"/>
          <w:kern w:val="2"/>
          <w:sz w:val="15"/>
          <w:szCs w:val="15"/>
        </w:rPr>
        <w:t>激进</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跟随市场情况和投资策略有大幅波动，产品净值有极大可能出现大幅</w:t>
      </w:r>
      <w:r>
        <w:rPr>
          <w:rFonts w:hint="eastAsia"/>
          <w:bCs/>
          <w:color w:val="auto"/>
          <w:spacing w:val="10"/>
          <w:kern w:val="2"/>
          <w:sz w:val="15"/>
          <w:szCs w:val="15"/>
        </w:rPr>
        <w:t>回撤，</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极高，本金大幅损失的可能性极高</w:t>
      </w:r>
      <w:r>
        <w:rPr>
          <w:rFonts w:hint="eastAsia"/>
          <w:bCs/>
          <w:color w:val="auto"/>
          <w:spacing w:val="10"/>
          <w:kern w:val="2"/>
          <w:sz w:val="15"/>
          <w:szCs w:val="15"/>
        </w:rPr>
        <w:t>。</w:t>
      </w:r>
    </w:p>
    <w:permEnd w:id="1040133060"/>
    <w:p w:rsidR="00000000" w:rsidRDefault="004528A9">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rsidR="00000000" w:rsidRDefault="004528A9">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机构投资者请根据自身的财务状况、投资经验、投资目标、风险认知、风险判断及其他因素综合考量理财产品的投资风险及自身的风险承受能力。</w:t>
      </w:r>
    </w:p>
    <w:p w:rsidR="00000000" w:rsidRDefault="004528A9">
      <w:pPr>
        <w:pStyle w:val="a7"/>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rsidR="00000000" w:rsidRDefault="004528A9">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rsidR="00000000" w:rsidRDefault="004528A9">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w:t>
      </w:r>
      <w:r>
        <w:rPr>
          <w:rFonts w:hint="eastAsia"/>
          <w:color w:val="auto"/>
          <w:spacing w:val="10"/>
          <w:kern w:val="2"/>
          <w:sz w:val="15"/>
          <w:szCs w:val="15"/>
        </w:rPr>
        <w:t>金保障，产品收益随投资表现变动，产品存在极低的本金损失风险。</w:t>
      </w:r>
    </w:p>
    <w:p w:rsidR="00000000" w:rsidRDefault="004528A9">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rsidR="00000000" w:rsidRDefault="004528A9">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rsidR="00000000" w:rsidRDefault="004528A9">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rsidR="00000000" w:rsidRDefault="004528A9">
      <w:pPr>
        <w:pStyle w:val="a7"/>
        <w:spacing w:before="0" w:after="0" w:line="240" w:lineRule="auto"/>
        <w:ind w:firstLineChars="198" w:firstLine="337"/>
        <w:jc w:val="both"/>
      </w:pPr>
      <w:r>
        <w:rPr>
          <w:color w:val="auto"/>
          <w:spacing w:val="10"/>
          <w:kern w:val="2"/>
          <w:sz w:val="15"/>
          <w:szCs w:val="15"/>
        </w:rPr>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rsidR="00000000" w:rsidRDefault="004528A9">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本风险等级为南银理财风</w:t>
      </w:r>
      <w:r>
        <w:rPr>
          <w:rFonts w:hint="eastAsia"/>
          <w:color w:val="auto"/>
          <w:spacing w:val="10"/>
          <w:kern w:val="2"/>
          <w:sz w:val="15"/>
          <w:szCs w:val="15"/>
        </w:rPr>
        <w:t>险评级结果，该产品通过代理销售机构渠道销售的，理财产品评级应当以代理销售机构最终披露的评级结果为准。您需充分认识投资风险，谨慎投资。</w:t>
      </w:r>
    </w:p>
    <w:p w:rsidR="00000000" w:rsidRDefault="004528A9">
      <w:pPr>
        <w:pStyle w:val="a7"/>
        <w:spacing w:before="0" w:after="0" w:line="240" w:lineRule="auto"/>
        <w:ind w:firstLineChars="200" w:firstLine="341"/>
        <w:jc w:val="both"/>
        <w:rPr>
          <w:rFonts w:hint="eastAsia"/>
        </w:rPr>
      </w:pPr>
      <w:r>
        <w:rPr>
          <w:rFonts w:hint="eastAsia"/>
          <w:b/>
          <w:color w:val="auto"/>
          <w:spacing w:val="10"/>
          <w:kern w:val="2"/>
          <w:sz w:val="15"/>
          <w:szCs w:val="15"/>
        </w:rPr>
        <w:t>【代理</w:t>
      </w:r>
      <w:r>
        <w:rPr>
          <w:rFonts w:hint="eastAsia"/>
          <w:b/>
          <w:color w:val="auto"/>
          <w:spacing w:val="10"/>
          <w:kern w:val="2"/>
          <w:sz w:val="15"/>
          <w:szCs w:val="15"/>
        </w:rPr>
        <w:t>销售机构在开展代理销售业务前应对理财产品进行尽职调查并根据理财产品的投资范围、投资资产、投资比例和风险状况等因素对理财产品进行风险等级评估，当南银理财对理财产品的风险等级评估结果与</w:t>
      </w:r>
      <w:r>
        <w:rPr>
          <w:rFonts w:hint="eastAsia"/>
          <w:b/>
          <w:color w:val="auto"/>
          <w:spacing w:val="10"/>
          <w:kern w:val="2"/>
          <w:sz w:val="15"/>
          <w:szCs w:val="15"/>
        </w:rPr>
        <w:t>代理</w:t>
      </w:r>
      <w:r>
        <w:rPr>
          <w:rFonts w:hint="eastAsia"/>
          <w:b/>
          <w:color w:val="auto"/>
          <w:spacing w:val="10"/>
          <w:kern w:val="2"/>
          <w:sz w:val="15"/>
          <w:szCs w:val="15"/>
        </w:rPr>
        <w:t>销售机构不一致时，</w:t>
      </w:r>
      <w:r>
        <w:rPr>
          <w:rFonts w:hint="eastAsia"/>
          <w:b/>
          <w:color w:val="auto"/>
          <w:spacing w:val="10"/>
          <w:kern w:val="2"/>
          <w:sz w:val="15"/>
          <w:szCs w:val="15"/>
        </w:rPr>
        <w:t>代理</w:t>
      </w:r>
      <w:r>
        <w:rPr>
          <w:rFonts w:hint="eastAsia"/>
          <w:b/>
          <w:color w:val="auto"/>
          <w:spacing w:val="10"/>
          <w:kern w:val="2"/>
          <w:sz w:val="15"/>
          <w:szCs w:val="15"/>
        </w:rPr>
        <w:t>销售机构应当采用较高风险等级评估结果，按较高的风险等级评估结果向投资者进行充分的风险提示并推介理财产品，确保个人投资者的风险承受能力等级不低于本理财产品风险等级。</w:t>
      </w:r>
      <w:r>
        <w:rPr>
          <w:rFonts w:hint="eastAsia"/>
          <w:b/>
          <w:color w:val="auto"/>
          <w:spacing w:val="10"/>
          <w:kern w:val="2"/>
          <w:sz w:val="15"/>
          <w:szCs w:val="15"/>
        </w:rPr>
        <w:t>】</w:t>
      </w:r>
    </w:p>
    <w:p w:rsidR="00000000" w:rsidRDefault="004528A9">
      <w:pPr>
        <w:pStyle w:val="a7"/>
        <w:spacing w:before="0" w:after="0" w:line="240" w:lineRule="auto"/>
        <w:ind w:firstLineChars="198" w:firstLine="338"/>
        <w:jc w:val="both"/>
        <w:rPr>
          <w:b/>
          <w:bCs/>
          <w:color w:val="auto"/>
          <w:spacing w:val="10"/>
          <w:kern w:val="2"/>
          <w:sz w:val="15"/>
          <w:szCs w:val="15"/>
          <w:highlight w:val="yellow"/>
        </w:rPr>
      </w:pPr>
      <w:r>
        <w:rPr>
          <w:rFonts w:hint="eastAsia"/>
          <w:b/>
          <w:bCs/>
          <w:color w:val="auto"/>
          <w:spacing w:val="10"/>
          <w:kern w:val="2"/>
          <w:sz w:val="15"/>
          <w:szCs w:val="15"/>
          <w:highlight w:val="yellow"/>
        </w:rPr>
        <w:t>第四条</w:t>
      </w:r>
      <w:r>
        <w:rPr>
          <w:b/>
          <w:bCs/>
          <w:color w:val="auto"/>
          <w:spacing w:val="10"/>
          <w:kern w:val="2"/>
          <w:sz w:val="15"/>
          <w:szCs w:val="15"/>
          <w:highlight w:val="yellow"/>
        </w:rPr>
        <w:t xml:space="preserve"> </w:t>
      </w:r>
      <w:r>
        <w:rPr>
          <w:rFonts w:hint="eastAsia"/>
          <w:b/>
          <w:bCs/>
          <w:color w:val="auto"/>
          <w:spacing w:val="10"/>
          <w:kern w:val="2"/>
          <w:sz w:val="15"/>
          <w:szCs w:val="15"/>
          <w:highlight w:val="yellow"/>
        </w:rPr>
        <w:t>个人投资者风险承受能力等级与适合购买的理财产品说明</w:t>
      </w:r>
    </w:p>
    <w:tbl>
      <w:tblPr>
        <w:tblW w:w="0" w:type="auto"/>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个人投资者风险承受能力</w:t>
            </w:r>
          </w:p>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等级</w:t>
            </w:r>
          </w:p>
        </w:tc>
        <w:tc>
          <w:tcPr>
            <w:tcW w:w="3930" w:type="dxa"/>
            <w:gridSpan w:val="5"/>
            <w:tcBorders>
              <w:top w:val="single" w:sz="4" w:space="0" w:color="auto"/>
              <w:left w:val="nil"/>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p>
        </w:tc>
        <w:tc>
          <w:tcPr>
            <w:tcW w:w="741" w:type="dxa"/>
            <w:tcBorders>
              <w:top w:val="single" w:sz="4" w:space="0" w:color="auto"/>
              <w:left w:val="nil"/>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PR1</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PR2</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中等风险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PR3</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PR4</w:t>
            </w:r>
            <w:r>
              <w:rPr>
                <w:rFonts w:ascii="宋体" w:hAnsi="宋体" w:cs="宋体" w:hint="eastAsia"/>
                <w:kern w:val="0"/>
                <w:sz w:val="15"/>
                <w:szCs w:val="15"/>
                <w:highlight w:val="yellow"/>
              </w:rPr>
              <w:t>）</w:t>
            </w:r>
          </w:p>
        </w:tc>
        <w:tc>
          <w:tcPr>
            <w:tcW w:w="741" w:type="dxa"/>
            <w:tcBorders>
              <w:top w:val="single" w:sz="4" w:space="0" w:color="auto"/>
              <w:left w:val="nil"/>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PR5</w:t>
            </w:r>
            <w:r>
              <w:rPr>
                <w:rFonts w:ascii="宋体" w:hAnsi="宋体" w:cs="宋体" w:hint="eastAsia"/>
                <w:kern w:val="0"/>
                <w:sz w:val="15"/>
                <w:szCs w:val="15"/>
                <w:highlight w:val="yellow"/>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permStart w:id="1225791017" w:edGrp="everyone" w:colFirst="0" w:colLast="0"/>
            <w:permStart w:id="1279076819" w:edGrp="everyone" w:colFirst="1" w:colLast="1"/>
            <w:permStart w:id="178591414" w:edGrp="everyone" w:colFirst="2" w:colLast="2"/>
            <w:permStart w:id="1072761841" w:edGrp="everyone" w:colFirst="3" w:colLast="3"/>
            <w:permStart w:id="83441510" w:edGrp="everyone" w:colFirst="4" w:colLast="4"/>
            <w:permStart w:id="1428451784" w:edGrp="everyone" w:colFirst="5" w:colLast="5"/>
            <w:r>
              <w:rPr>
                <w:rFonts w:ascii="宋体" w:hAnsi="宋体" w:cs="宋体" w:hint="eastAsia"/>
                <w:kern w:val="0"/>
                <w:sz w:val="15"/>
                <w:szCs w:val="15"/>
              </w:rPr>
              <w:t>一级（保守型投资者）</w:t>
            </w:r>
          </w:p>
        </w:tc>
        <w:tc>
          <w:tcPr>
            <w:tcW w:w="741"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permStart w:id="1349327998" w:edGrp="everyone" w:colFirst="0" w:colLast="0"/>
            <w:permStart w:id="1841046122" w:edGrp="everyone" w:colFirst="1" w:colLast="1"/>
            <w:permStart w:id="1108607334" w:edGrp="everyone" w:colFirst="2" w:colLast="2"/>
            <w:permStart w:id="56183525" w:edGrp="everyone" w:colFirst="3" w:colLast="3"/>
            <w:permStart w:id="1371345762" w:edGrp="everyone" w:colFirst="4" w:colLast="4"/>
            <w:permStart w:id="411505888" w:edGrp="everyone" w:colFirst="5" w:colLast="5"/>
            <w:permEnd w:id="1225791017"/>
            <w:permEnd w:id="1279076819"/>
            <w:permEnd w:id="178591414"/>
            <w:permEnd w:id="1072761841"/>
            <w:permEnd w:id="83441510"/>
            <w:permEnd w:id="1428451784"/>
            <w:r>
              <w:rPr>
                <w:rFonts w:ascii="宋体" w:hAnsi="宋体" w:cs="宋体" w:hint="eastAsia"/>
                <w:kern w:val="0"/>
                <w:sz w:val="15"/>
                <w:szCs w:val="15"/>
              </w:rPr>
              <w:t>二级（</w:t>
            </w:r>
            <w:r>
              <w:rPr>
                <w:rFonts w:ascii="宋体" w:hAnsi="宋体" w:cs="宋体" w:hint="eastAsia"/>
                <w:kern w:val="0"/>
                <w:sz w:val="15"/>
                <w:szCs w:val="15"/>
              </w:rPr>
              <w:t>谨慎</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permStart w:id="606082877" w:edGrp="everyone" w:colFirst="0" w:colLast="0"/>
            <w:permStart w:id="4529083" w:edGrp="everyone" w:colFirst="1" w:colLast="1"/>
            <w:permStart w:id="1302267288" w:edGrp="everyone" w:colFirst="2" w:colLast="2"/>
            <w:permStart w:id="1247550503" w:edGrp="everyone" w:colFirst="3" w:colLast="3"/>
            <w:permStart w:id="901934505" w:edGrp="everyone" w:colFirst="4" w:colLast="4"/>
            <w:permStart w:id="1702239562" w:edGrp="everyone" w:colFirst="5" w:colLast="5"/>
            <w:permEnd w:id="1349327998"/>
            <w:permEnd w:id="1841046122"/>
            <w:permEnd w:id="1108607334"/>
            <w:permEnd w:id="56183525"/>
            <w:permEnd w:id="1371345762"/>
            <w:permEnd w:id="411505888"/>
            <w:r>
              <w:rPr>
                <w:rFonts w:ascii="宋体" w:hAnsi="宋体" w:cs="宋体" w:hint="eastAsia"/>
                <w:kern w:val="0"/>
                <w:sz w:val="15"/>
                <w:szCs w:val="15"/>
              </w:rPr>
              <w:t>三级（</w:t>
            </w:r>
            <w:r>
              <w:rPr>
                <w:rFonts w:ascii="宋体" w:hAnsi="宋体" w:cs="宋体" w:hint="eastAsia"/>
                <w:kern w:val="0"/>
                <w:sz w:val="15"/>
                <w:szCs w:val="15"/>
              </w:rPr>
              <w:t>稳健</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permStart w:id="999894310" w:edGrp="everyone" w:colFirst="0" w:colLast="0"/>
            <w:permStart w:id="502213098" w:edGrp="everyone" w:colFirst="1" w:colLast="1"/>
            <w:permStart w:id="274603026" w:edGrp="everyone" w:colFirst="2" w:colLast="2"/>
            <w:permStart w:id="1284381719" w:edGrp="everyone" w:colFirst="3" w:colLast="3"/>
            <w:permStart w:id="2112108583" w:edGrp="everyone" w:colFirst="4" w:colLast="4"/>
            <w:permStart w:id="1510626895" w:edGrp="everyone" w:colFirst="5" w:colLast="5"/>
            <w:permEnd w:id="606082877"/>
            <w:permEnd w:id="4529083"/>
            <w:permEnd w:id="1302267288"/>
            <w:permEnd w:id="1247550503"/>
            <w:permEnd w:id="901934505"/>
            <w:permEnd w:id="1702239562"/>
            <w:r>
              <w:rPr>
                <w:rFonts w:ascii="宋体" w:hAnsi="宋体" w:cs="宋体" w:hint="eastAsia"/>
                <w:kern w:val="0"/>
                <w:sz w:val="15"/>
                <w:szCs w:val="15"/>
              </w:rPr>
              <w:t>四级（</w:t>
            </w:r>
            <w:r>
              <w:rPr>
                <w:rFonts w:ascii="宋体" w:hAnsi="宋体" w:cs="宋体" w:hint="eastAsia"/>
                <w:kern w:val="0"/>
                <w:sz w:val="15"/>
                <w:szCs w:val="15"/>
              </w:rPr>
              <w:t>进取</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4528A9">
            <w:pPr>
              <w:widowControl/>
              <w:snapToGrid w:val="0"/>
              <w:jc w:val="center"/>
              <w:rPr>
                <w:rFonts w:ascii="宋体" w:hAnsi="宋体" w:cs="宋体"/>
                <w:kern w:val="0"/>
                <w:sz w:val="15"/>
                <w:szCs w:val="15"/>
                <w:highlight w:val="yellow"/>
              </w:rPr>
            </w:pPr>
            <w:permStart w:id="167904959" w:edGrp="everyone" w:colFirst="0" w:colLast="0"/>
            <w:permStart w:id="2031366503" w:edGrp="everyone" w:colFirst="1" w:colLast="1"/>
            <w:permStart w:id="1929594894" w:edGrp="everyone" w:colFirst="2" w:colLast="2"/>
            <w:permStart w:id="1084293217" w:edGrp="everyone" w:colFirst="3" w:colLast="3"/>
            <w:permStart w:id="1620587021" w:edGrp="everyone" w:colFirst="4" w:colLast="4"/>
            <w:permStart w:id="1246326789" w:edGrp="everyone" w:colFirst="5" w:colLast="5"/>
            <w:permEnd w:id="999894310"/>
            <w:permEnd w:id="502213098"/>
            <w:permEnd w:id="274603026"/>
            <w:permEnd w:id="1284381719"/>
            <w:permEnd w:id="2112108583"/>
            <w:permEnd w:id="1510626895"/>
            <w:r>
              <w:rPr>
                <w:rFonts w:ascii="宋体" w:hAnsi="宋体" w:cs="宋体" w:hint="eastAsia"/>
                <w:kern w:val="0"/>
                <w:sz w:val="15"/>
                <w:szCs w:val="15"/>
              </w:rPr>
              <w:t>五级（</w:t>
            </w:r>
            <w:r>
              <w:rPr>
                <w:rFonts w:ascii="宋体" w:hAnsi="宋体" w:cs="宋体" w:hint="eastAsia"/>
                <w:kern w:val="0"/>
                <w:sz w:val="15"/>
                <w:szCs w:val="15"/>
              </w:rPr>
              <w:t>积极</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4528A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bl>
    <w:permEnd w:id="167904959"/>
    <w:permEnd w:id="2031366503"/>
    <w:permEnd w:id="1929594894"/>
    <w:permEnd w:id="1084293217"/>
    <w:permEnd w:id="1620587021"/>
    <w:permEnd w:id="1246326789"/>
    <w:p w:rsidR="00000000" w:rsidRDefault="004528A9">
      <w:pPr>
        <w:pStyle w:val="a7"/>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rsidR="00000000" w:rsidRDefault="004528A9">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w:t>
      </w:r>
      <w:r>
        <w:rPr>
          <w:rFonts w:hint="eastAsia"/>
          <w:b/>
          <w:color w:val="auto"/>
          <w:spacing w:val="10"/>
          <w:kern w:val="2"/>
          <w:sz w:val="15"/>
          <w:szCs w:val="15"/>
        </w:rPr>
        <w:t>的方式、渠道和频率说明</w:t>
      </w:r>
    </w:p>
    <w:p w:rsidR="00000000" w:rsidRDefault="004528A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rsidR="00000000" w:rsidRDefault="004528A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00000" w:rsidRDefault="004528A9">
      <w:pPr>
        <w:pStyle w:val="a7"/>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rsidR="00000000" w:rsidRDefault="004528A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w:t>
      </w:r>
      <w:r>
        <w:rPr>
          <w:rFonts w:hint="eastAsia"/>
          <w:bCs/>
          <w:color w:val="auto"/>
          <w:spacing w:val="10"/>
          <w:kern w:val="2"/>
          <w:sz w:val="15"/>
          <w:szCs w:val="15"/>
        </w:rPr>
        <w:t>、使用、传输和泄露，保护投资者的信息安全，法律法规另有规定，或有权机关另有要求的情形除外。</w:t>
      </w:r>
    </w:p>
    <w:p w:rsidR="00000000" w:rsidRDefault="004528A9">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rsidR="00000000" w:rsidRDefault="004528A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w:t>
      </w:r>
      <w:r>
        <w:rPr>
          <w:rFonts w:hint="eastAsia"/>
          <w:b/>
          <w:color w:val="auto"/>
          <w:spacing w:val="10"/>
          <w:kern w:val="2"/>
          <w:sz w:val="15"/>
          <w:szCs w:val="15"/>
        </w:rPr>
        <w:t>及时接听、记录投资者的意见或建议，并</w:t>
      </w:r>
      <w:r>
        <w:rPr>
          <w:rFonts w:hint="eastAsia"/>
          <w:b/>
          <w:color w:val="auto"/>
          <w:spacing w:val="10"/>
          <w:kern w:val="2"/>
          <w:sz w:val="15"/>
          <w:szCs w:val="15"/>
        </w:rPr>
        <w:t>与投资者协商共同解决</w:t>
      </w:r>
      <w:r>
        <w:rPr>
          <w:rFonts w:hint="eastAsia"/>
          <w:bCs/>
          <w:color w:val="auto"/>
          <w:spacing w:val="10"/>
          <w:kern w:val="2"/>
          <w:sz w:val="15"/>
          <w:szCs w:val="15"/>
        </w:rPr>
        <w:t>。</w:t>
      </w:r>
    </w:p>
    <w:p w:rsidR="00000000" w:rsidRDefault="004528A9">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w:t>
      </w:r>
      <w:r>
        <w:rPr>
          <w:rFonts w:hint="eastAsia"/>
          <w:b/>
          <w:color w:val="auto"/>
          <w:spacing w:val="10"/>
          <w:kern w:val="2"/>
          <w:sz w:val="15"/>
          <w:szCs w:val="15"/>
        </w:rPr>
        <w:t>系</w:t>
      </w:r>
      <w:r>
        <w:rPr>
          <w:rFonts w:hint="eastAsia"/>
          <w:b/>
          <w:color w:val="auto"/>
          <w:spacing w:val="10"/>
          <w:kern w:val="2"/>
          <w:sz w:val="15"/>
          <w:szCs w:val="15"/>
        </w:rPr>
        <w:t>方式</w:t>
      </w:r>
    </w:p>
    <w:p w:rsidR="00000000" w:rsidRDefault="004528A9">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w:t>
      </w:r>
      <w:r>
        <w:rPr>
          <w:rFonts w:hint="eastAsia"/>
          <w:b/>
          <w:color w:val="auto"/>
          <w:spacing w:val="10"/>
          <w:kern w:val="2"/>
          <w:sz w:val="15"/>
          <w:szCs w:val="15"/>
        </w:rPr>
        <w:t>系</w:t>
      </w:r>
      <w:r>
        <w:rPr>
          <w:rFonts w:hint="eastAsia"/>
          <w:b/>
          <w:color w:val="auto"/>
          <w:spacing w:val="10"/>
          <w:kern w:val="2"/>
          <w:sz w:val="15"/>
          <w:szCs w:val="15"/>
        </w:rPr>
        <w:t>方式</w:t>
      </w:r>
      <w:r>
        <w:rPr>
          <w:rFonts w:hint="eastAsia"/>
          <w:b/>
          <w:color w:val="auto"/>
          <w:spacing w:val="10"/>
          <w:kern w:val="2"/>
          <w:sz w:val="15"/>
          <w:szCs w:val="15"/>
        </w:rPr>
        <w:t>分别如下：</w:t>
      </w:r>
    </w:p>
    <w:p w:rsidR="00000000" w:rsidRDefault="004528A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w:t>
      </w:r>
      <w:r>
        <w:rPr>
          <w:rFonts w:hint="eastAsia"/>
          <w:bCs/>
          <w:color w:val="auto"/>
          <w:spacing w:val="10"/>
          <w:kern w:val="2"/>
          <w:sz w:val="15"/>
          <w:szCs w:val="15"/>
        </w:rPr>
        <w:t>系</w:t>
      </w:r>
      <w:r>
        <w:rPr>
          <w:rFonts w:hint="eastAsia"/>
          <w:bCs/>
          <w:color w:val="auto"/>
          <w:spacing w:val="10"/>
          <w:kern w:val="2"/>
          <w:sz w:val="15"/>
          <w:szCs w:val="15"/>
        </w:rPr>
        <w:t>方式</w:t>
      </w:r>
    </w:p>
    <w:p w:rsidR="00000000" w:rsidRDefault="004528A9">
      <w:pPr>
        <w:pStyle w:val="a7"/>
        <w:spacing w:before="0" w:after="0" w:line="240" w:lineRule="auto"/>
        <w:ind w:firstLineChars="200" w:firstLine="340"/>
        <w:rPr>
          <w:rFonts w:hint="eastAsia"/>
          <w:bCs/>
          <w:color w:val="auto"/>
          <w:spacing w:val="10"/>
          <w:kern w:val="2"/>
          <w:sz w:val="15"/>
          <w:szCs w:val="15"/>
        </w:rPr>
      </w:pPr>
      <w:permStart w:id="1886723730" w:edGrp="everyone"/>
      <w:r>
        <w:rPr>
          <w:rFonts w:hint="eastAsia"/>
          <w:bCs/>
          <w:color w:val="auto"/>
          <w:spacing w:val="10"/>
          <w:kern w:val="2"/>
          <w:sz w:val="15"/>
          <w:szCs w:val="15"/>
        </w:rPr>
        <w:t xml:space="preserve"> </w:t>
      </w:r>
      <w:r>
        <w:rPr>
          <w:rFonts w:hint="eastAsia"/>
          <w:bCs/>
          <w:color w:val="auto"/>
          <w:spacing w:val="10"/>
          <w:kern w:val="2"/>
          <w:sz w:val="15"/>
          <w:szCs w:val="15"/>
        </w:rPr>
        <w:t>地址：</w:t>
      </w:r>
      <w:r>
        <w:rPr>
          <w:bCs/>
          <w:color w:val="auto"/>
          <w:spacing w:val="10"/>
          <w:kern w:val="2"/>
          <w:sz w:val="15"/>
          <w:szCs w:val="15"/>
        </w:rPr>
        <w:t>南京市建邺区庐山路</w:t>
      </w:r>
      <w:r>
        <w:rPr>
          <w:bCs/>
          <w:color w:val="auto"/>
          <w:spacing w:val="10"/>
          <w:kern w:val="2"/>
          <w:sz w:val="15"/>
          <w:szCs w:val="15"/>
        </w:rPr>
        <w:t>242</w:t>
      </w:r>
      <w:r>
        <w:rPr>
          <w:bCs/>
          <w:color w:val="auto"/>
          <w:spacing w:val="10"/>
          <w:kern w:val="2"/>
          <w:sz w:val="15"/>
          <w:szCs w:val="15"/>
        </w:rPr>
        <w:t>号</w:t>
      </w:r>
      <w:r>
        <w:rPr>
          <w:bCs/>
          <w:color w:val="auto"/>
          <w:spacing w:val="10"/>
          <w:kern w:val="2"/>
          <w:sz w:val="15"/>
          <w:szCs w:val="15"/>
        </w:rPr>
        <w:t>2</w:t>
      </w:r>
      <w:r>
        <w:rPr>
          <w:bCs/>
          <w:color w:val="auto"/>
          <w:spacing w:val="10"/>
          <w:kern w:val="2"/>
          <w:sz w:val="15"/>
          <w:szCs w:val="15"/>
        </w:rPr>
        <w:t>号楼</w:t>
      </w:r>
      <w:r>
        <w:rPr>
          <w:bCs/>
          <w:color w:val="auto"/>
          <w:spacing w:val="10"/>
          <w:kern w:val="2"/>
          <w:sz w:val="15"/>
          <w:szCs w:val="15"/>
        </w:rPr>
        <w:t>14-16</w:t>
      </w:r>
      <w:r>
        <w:rPr>
          <w:bCs/>
          <w:color w:val="auto"/>
          <w:spacing w:val="10"/>
          <w:kern w:val="2"/>
          <w:sz w:val="15"/>
          <w:szCs w:val="15"/>
        </w:rPr>
        <w:t>层</w:t>
      </w:r>
    </w:p>
    <w:p w:rsidR="00000000" w:rsidRDefault="004528A9">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4001195302</w:t>
      </w:r>
      <w:r>
        <w:rPr>
          <w:rFonts w:hint="eastAsia"/>
          <w:bCs/>
          <w:color w:val="auto"/>
          <w:spacing w:val="10"/>
          <w:kern w:val="2"/>
          <w:sz w:val="15"/>
          <w:szCs w:val="15"/>
        </w:rPr>
        <w:t xml:space="preserve"> </w:t>
      </w:r>
      <w:permEnd w:id="1886723730"/>
    </w:p>
    <w:p w:rsidR="00000000" w:rsidRDefault="004528A9">
      <w:pPr>
        <w:pStyle w:val="a7"/>
        <w:spacing w:before="0" w:after="0" w:line="240" w:lineRule="auto"/>
        <w:ind w:firstLineChars="200" w:firstLine="340"/>
        <w:rPr>
          <w:bCs/>
          <w:color w:val="auto"/>
          <w:spacing w:val="10"/>
          <w:kern w:val="2"/>
          <w:sz w:val="15"/>
          <w:szCs w:val="15"/>
          <w:highlight w:val="yellow"/>
        </w:rPr>
      </w:pPr>
      <w:r>
        <w:rPr>
          <w:rFonts w:hint="eastAsia"/>
          <w:bCs/>
          <w:color w:val="auto"/>
          <w:spacing w:val="10"/>
          <w:kern w:val="2"/>
          <w:sz w:val="15"/>
          <w:szCs w:val="15"/>
        </w:rPr>
        <w:t>（</w:t>
      </w:r>
      <w:r>
        <w:rPr>
          <w:rFonts w:hint="eastAsia"/>
          <w:bCs/>
          <w:color w:val="auto"/>
          <w:spacing w:val="10"/>
          <w:kern w:val="2"/>
          <w:sz w:val="15"/>
          <w:szCs w:val="15"/>
          <w:highlight w:val="yellow"/>
        </w:rPr>
        <w:t>二）销售机构联</w:t>
      </w:r>
      <w:r>
        <w:rPr>
          <w:rFonts w:hint="eastAsia"/>
          <w:bCs/>
          <w:color w:val="auto"/>
          <w:spacing w:val="10"/>
          <w:kern w:val="2"/>
          <w:sz w:val="15"/>
          <w:szCs w:val="15"/>
          <w:highlight w:val="yellow"/>
        </w:rPr>
        <w:t>系</w:t>
      </w:r>
      <w:r>
        <w:rPr>
          <w:rFonts w:hint="eastAsia"/>
          <w:bCs/>
          <w:color w:val="auto"/>
          <w:spacing w:val="10"/>
          <w:kern w:val="2"/>
          <w:sz w:val="15"/>
          <w:szCs w:val="15"/>
          <w:highlight w:val="yellow"/>
        </w:rPr>
        <w:t>方式</w:t>
      </w:r>
    </w:p>
    <w:p w:rsidR="00000000" w:rsidRDefault="004528A9">
      <w:pPr>
        <w:pStyle w:val="a7"/>
        <w:spacing w:before="0" w:after="0" w:line="240" w:lineRule="auto"/>
        <w:ind w:firstLineChars="200" w:firstLine="341"/>
        <w:rPr>
          <w:bCs/>
          <w:color w:val="auto"/>
          <w:spacing w:val="10"/>
          <w:kern w:val="2"/>
          <w:sz w:val="15"/>
          <w:szCs w:val="15"/>
        </w:rPr>
      </w:pPr>
      <w:permStart w:id="382172422"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海南省海口市龙华区海秀东路</w:t>
      </w:r>
      <w:r>
        <w:rPr>
          <w:rFonts w:hint="eastAsia"/>
          <w:bCs/>
          <w:color w:val="auto"/>
          <w:spacing w:val="10"/>
          <w:kern w:val="2"/>
          <w:sz w:val="15"/>
          <w:szCs w:val="15"/>
        </w:rPr>
        <w:t>31</w:t>
      </w:r>
      <w:r>
        <w:rPr>
          <w:rFonts w:hint="eastAsia"/>
          <w:bCs/>
          <w:color w:val="auto"/>
          <w:spacing w:val="10"/>
          <w:kern w:val="2"/>
          <w:sz w:val="15"/>
          <w:szCs w:val="15"/>
        </w:rPr>
        <w:t>号</w:t>
      </w:r>
    </w:p>
    <w:p w:rsidR="00000000" w:rsidRDefault="004528A9">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0898-6</w:t>
      </w:r>
      <w:r>
        <w:rPr>
          <w:rFonts w:hint="eastAsia"/>
          <w:bCs/>
          <w:color w:val="auto"/>
          <w:spacing w:val="10"/>
          <w:kern w:val="2"/>
          <w:sz w:val="15"/>
          <w:szCs w:val="15"/>
        </w:rPr>
        <w:t>6505681</w:t>
      </w:r>
    </w:p>
    <w:p w:rsidR="00000000" w:rsidRDefault="004528A9">
      <w:pPr>
        <w:pStyle w:val="a7"/>
        <w:spacing w:before="0" w:after="0" w:line="240" w:lineRule="auto"/>
        <w:ind w:firstLineChars="200" w:firstLine="340"/>
        <w:rPr>
          <w:b/>
          <w:color w:val="auto"/>
          <w:spacing w:val="10"/>
          <w:kern w:val="2"/>
          <w:sz w:val="15"/>
          <w:szCs w:val="15"/>
          <w:u w:val="single"/>
        </w:rPr>
      </w:pPr>
      <w:r>
        <w:rPr>
          <w:rFonts w:hint="eastAsia"/>
          <w:bCs/>
          <w:color w:val="auto"/>
          <w:spacing w:val="10"/>
          <w:kern w:val="2"/>
          <w:sz w:val="15"/>
          <w:szCs w:val="15"/>
          <w:lang w:eastAsia="zh-Hans"/>
        </w:rPr>
        <w:t>官网</w:t>
      </w:r>
      <w:r>
        <w:rPr>
          <w:bCs/>
          <w:color w:val="auto"/>
          <w:spacing w:val="10"/>
          <w:kern w:val="2"/>
          <w:sz w:val="15"/>
          <w:szCs w:val="15"/>
          <w:lang w:eastAsia="zh-Hans"/>
        </w:rPr>
        <w:t>：</w:t>
      </w:r>
      <w:r>
        <w:rPr>
          <w:bCs/>
          <w:color w:val="auto"/>
          <w:spacing w:val="10"/>
          <w:kern w:val="2"/>
          <w:sz w:val="15"/>
          <w:szCs w:val="15"/>
          <w:lang w:eastAsia="zh-Hans"/>
        </w:rPr>
        <w:t>http://www.hnbankchina.com.cn</w:t>
      </w:r>
      <w:permEnd w:id="382172422"/>
    </w:p>
    <w:p w:rsidR="00000000" w:rsidRDefault="004528A9">
      <w:pPr>
        <w:pStyle w:val="a7"/>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00000" w:rsidRDefault="004528A9">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w:t>
      </w:r>
      <w:r>
        <w:rPr>
          <w:rFonts w:hint="eastAsia"/>
          <w:b/>
          <w:spacing w:val="10"/>
          <w:sz w:val="15"/>
          <w:szCs w:val="15"/>
          <w:u w:val="single"/>
        </w:rPr>
        <w:t>是否投资。</w:t>
      </w:r>
    </w:p>
    <w:p w:rsidR="00000000" w:rsidRDefault="004528A9">
      <w:pPr>
        <w:ind w:firstLineChars="200" w:firstLine="341"/>
        <w:rPr>
          <w:b/>
          <w:spacing w:val="10"/>
          <w:sz w:val="15"/>
          <w:szCs w:val="15"/>
          <w:u w:val="single"/>
        </w:rPr>
      </w:pPr>
    </w:p>
    <w:p w:rsidR="00000000" w:rsidRDefault="004528A9">
      <w:pPr>
        <w:pStyle w:val="12"/>
        <w:spacing w:line="360" w:lineRule="auto"/>
        <w:ind w:firstLineChars="0" w:firstLine="0"/>
        <w:jc w:val="center"/>
        <w:rPr>
          <w:rFonts w:ascii="宋体" w:hAnsi="宋体" w:cs="宋体"/>
          <w:b/>
          <w:sz w:val="24"/>
          <w:szCs w:val="24"/>
        </w:rPr>
      </w:pPr>
      <w:r>
        <w:rPr>
          <w:rFonts w:ascii="Times New Roman" w:hAnsi="Times New Roman"/>
          <w:sz w:val="20"/>
          <w:szCs w:val="20"/>
        </w:rPr>
        <w:br w:type="page"/>
      </w:r>
      <w:r>
        <w:rPr>
          <w:rFonts w:ascii="宋体" w:hAnsi="宋体" w:cs="FZSSK--GBK1-0" w:hint="eastAsia"/>
          <w:b/>
          <w:kern w:val="0"/>
          <w:sz w:val="24"/>
          <w:szCs w:val="24"/>
        </w:rPr>
        <w:t>理财产品投资协议书</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000000" w:rsidRDefault="004528A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000000" w:rsidRDefault="004528A9">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000000" w:rsidRDefault="004528A9">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w:t>
      </w:r>
      <w:r>
        <w:rPr>
          <w:rFonts w:ascii="宋体" w:hAnsi="宋体" w:cs="宋体" w:hint="eastAsia"/>
          <w:b/>
          <w:bCs/>
          <w:sz w:val="22"/>
          <w:szCs w:val="24"/>
        </w:rPr>
        <w:t>产品销售文件各项条款和潜在风险，自愿购买本理财产品，同意、确认并遵守对应期次的《理财产品说明书》《理财产品风险揭示书》《理财产品销售协议书》及《投资者权益须知》等完整理财产品销售文件中的各项条款。</w:t>
      </w:r>
    </w:p>
    <w:p w:rsidR="00000000" w:rsidRDefault="004528A9">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000000" w:rsidRDefault="004528A9">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w:t>
      </w:r>
      <w:r>
        <w:rPr>
          <w:rFonts w:ascii="宋体" w:hAnsi="宋体" w:cs="宋体"/>
          <w:sz w:val="22"/>
          <w:szCs w:val="24"/>
        </w:rPr>
        <w:t>明书》的约定收取相应费用。</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000000" w:rsidRDefault="004528A9">
      <w:pPr>
        <w:pStyle w:val="12"/>
        <w:spacing w:line="360" w:lineRule="auto"/>
        <w:ind w:firstLine="440"/>
        <w:rPr>
          <w:rFonts w:ascii="宋体" w:hAnsi="宋体" w:cs="宋体"/>
          <w:b/>
          <w:bCs/>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w:t>
      </w:r>
      <w:r>
        <w:rPr>
          <w:rFonts w:ascii="宋体" w:hAnsi="宋体" w:cs="宋体" w:hint="eastAsia"/>
          <w:sz w:val="22"/>
          <w:szCs w:val="24"/>
        </w:rPr>
        <w:t>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000000" w:rsidRDefault="004528A9">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000000" w:rsidRDefault="004528A9">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000000" w:rsidRDefault="004528A9">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1</w:t>
      </w:r>
      <w:r>
        <w:rPr>
          <w:rFonts w:ascii="宋体" w:hAnsi="宋体" w:cs="宋体" w:hint="eastAsia"/>
          <w:b/>
          <w:bCs/>
          <w:sz w:val="22"/>
          <w:szCs w:val="24"/>
        </w:rPr>
        <w:t>）若因国家法律法规、监管规定发生变化，甲方有权单方面对本理财产品的《理财产品销售协议书》《理财产品说</w:t>
      </w:r>
      <w:r>
        <w:rPr>
          <w:rFonts w:ascii="宋体" w:hAnsi="宋体" w:cs="宋体" w:hint="eastAsia"/>
          <w:b/>
          <w:bCs/>
          <w:sz w:val="22"/>
          <w:szCs w:val="24"/>
        </w:rPr>
        <w:t>明书》《理财产品风险揭示书》《投资者权益须知》《理财产品投资协议书》等相关销售文件进行修订，并进行信息披露。投资者在此同意，修订后的销售文件对投资者具有法律约束力；</w:t>
      </w:r>
    </w:p>
    <w:p w:rsidR="00000000" w:rsidRDefault="004528A9">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w:t>
      </w:r>
      <w:r>
        <w:rPr>
          <w:rFonts w:ascii="宋体" w:hAnsi="宋体" w:cs="宋体" w:hint="eastAsia"/>
          <w:b/>
          <w:bCs/>
          <w:sz w:val="22"/>
          <w:szCs w:val="24"/>
        </w:rPr>
        <w:t>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4528A9">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w:t>
      </w:r>
      <w:r>
        <w:rPr>
          <w:rFonts w:ascii="宋体" w:hAnsi="宋体" w:cs="宋体" w:hint="eastAsia"/>
          <w:b/>
          <w:bCs/>
          <w:sz w:val="22"/>
          <w:szCs w:val="24"/>
        </w:rPr>
        <w:t>要的情况下向服务机构及其他管理人或销售机构认为必要的业务合作机构提供投资者相关信息。甲方及销售机构保证信息采集、处理及使用的安全性和合法性。</w:t>
      </w:r>
    </w:p>
    <w:p w:rsidR="00000000" w:rsidRDefault="004528A9">
      <w:pPr>
        <w:pStyle w:val="12"/>
        <w:spacing w:line="360" w:lineRule="auto"/>
        <w:ind w:firstLineChars="0"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000000" w:rsidRDefault="004528A9">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000000" w:rsidRDefault="004528A9">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000000" w:rsidRDefault="004528A9">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w:t>
      </w:r>
      <w:r>
        <w:rPr>
          <w:rFonts w:ascii="宋体" w:hAnsi="宋体" w:cs="宋体" w:hint="eastAsia"/>
          <w:sz w:val="22"/>
          <w:szCs w:val="24"/>
        </w:rPr>
        <w:t>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000000" w:rsidRDefault="004528A9">
      <w:pPr>
        <w:pStyle w:val="12"/>
        <w:spacing w:line="360" w:lineRule="auto"/>
        <w:ind w:firstLineChars="0"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w:t>
      </w:r>
      <w:r>
        <w:rPr>
          <w:rFonts w:ascii="宋体" w:hAnsi="宋体" w:cs="宋体"/>
          <w:sz w:val="22"/>
          <w:szCs w:val="24"/>
        </w:rPr>
        <w:t>承担。</w:t>
      </w:r>
    </w:p>
    <w:p w:rsidR="00000000" w:rsidRDefault="004528A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w:t>
      </w:r>
      <w:r>
        <w:rPr>
          <w:rFonts w:ascii="宋体" w:hAnsi="宋体" w:cs="宋体" w:hint="eastAsia"/>
          <w:b/>
          <w:bCs/>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00000" w:rsidRDefault="004528A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w:t>
      </w:r>
      <w:r>
        <w:rPr>
          <w:rFonts w:ascii="宋体" w:hAnsi="宋体" w:cs="宋体" w:hint="eastAsia"/>
          <w:b/>
          <w:bCs/>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w:t>
      </w:r>
      <w:r>
        <w:rPr>
          <w:rFonts w:ascii="宋体" w:hAnsi="宋体" w:cs="宋体" w:hint="eastAsia"/>
          <w:b/>
          <w:bCs/>
          <w:sz w:val="22"/>
          <w:szCs w:val="24"/>
        </w:rPr>
        <w:t>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00000" w:rsidRDefault="004528A9">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w:t>
      </w:r>
      <w:r>
        <w:rPr>
          <w:rFonts w:ascii="宋体" w:hAnsi="宋体" w:cs="宋体" w:hint="eastAsia"/>
          <w:b/>
          <w:bCs/>
          <w:sz w:val="22"/>
          <w:szCs w:val="24"/>
        </w:rPr>
        <w:t>变更手续，由此导致的一切后果由乙方承担。</w:t>
      </w:r>
    </w:p>
    <w:p w:rsidR="00000000" w:rsidRDefault="004528A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4528A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w:t>
      </w:r>
      <w:r>
        <w:rPr>
          <w:rFonts w:ascii="宋体" w:hAnsi="宋体" w:cs="宋体" w:hint="eastAsia"/>
          <w:b/>
          <w:bCs/>
          <w:sz w:val="22"/>
          <w:szCs w:val="24"/>
        </w:rPr>
        <w:t>乙方对因购买、持有本理财产品而知悉的甲方及销售机构保密信息承担保密义务，乙方承诺不以任何方式向任何第三方披露甲方或销售机构的保密信息，法律法规另有规定的除外。</w:t>
      </w:r>
    </w:p>
    <w:p w:rsidR="00000000" w:rsidRDefault="004528A9">
      <w:pPr>
        <w:pStyle w:val="12"/>
        <w:spacing w:line="360" w:lineRule="auto"/>
        <w:ind w:firstLineChars="0"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000000" w:rsidRDefault="004528A9">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（一）本协议书</w:t>
      </w:r>
      <w:r>
        <w:rPr>
          <w:rFonts w:ascii="宋体" w:hAnsi="宋体" w:cs="宋体" w:hint="eastAsia"/>
          <w:sz w:val="22"/>
          <w:szCs w:val="24"/>
        </w:rPr>
        <w:t>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w:t>
      </w:r>
      <w:r>
        <w:rPr>
          <w:rFonts w:ascii="宋体" w:hAnsi="宋体" w:cs="宋体" w:hint="eastAsia"/>
          <w:sz w:val="22"/>
          <w:szCs w:val="24"/>
        </w:rPr>
        <w:t>、甲方提前终止对应期次理财产品以及对应期次理财产品到期并结清后，本协议自动终止。</w:t>
      </w:r>
    </w:p>
    <w:p w:rsidR="00000000" w:rsidRDefault="004528A9">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00000" w:rsidRDefault="004528A9">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w:t>
      </w:r>
      <w:r>
        <w:rPr>
          <w:rFonts w:ascii="宋体" w:hAnsi="宋体" w:cs="宋体"/>
          <w:sz w:val="22"/>
          <w:szCs w:val="24"/>
        </w:rPr>
        <w:t>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000000" w:rsidRDefault="004528A9">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00000" w:rsidRDefault="004528A9">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000000" w:rsidRDefault="004528A9">
      <w:pPr>
        <w:pStyle w:val="12"/>
        <w:spacing w:line="360" w:lineRule="auto"/>
        <w:ind w:firstLine="440"/>
        <w:rPr>
          <w:rFonts w:ascii="宋体" w:hAnsi="宋体" w:cs="宋体"/>
          <w:sz w:val="22"/>
          <w:szCs w:val="24"/>
        </w:rPr>
      </w:pPr>
    </w:p>
    <w:p w:rsidR="00000000" w:rsidRDefault="004528A9">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w:t>
      </w:r>
      <w:r>
        <w:rPr>
          <w:rFonts w:ascii="宋体" w:hAnsi="宋体" w:cs="宋体" w:hint="eastAsia"/>
          <w:b/>
          <w:bCs/>
          <w:sz w:val="22"/>
          <w:szCs w:val="24"/>
        </w:rPr>
        <w:t>其是加粗的条款。如果投资者不同意本协议的任何内容，或者无法准确理解相关条款的解释，请不要进行后续操作。</w:t>
      </w:r>
    </w:p>
    <w:p w:rsidR="00000000" w:rsidRDefault="004528A9">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000000" w:rsidRDefault="004528A9">
      <w:pPr>
        <w:pStyle w:val="12"/>
        <w:spacing w:line="360" w:lineRule="auto"/>
        <w:ind w:firstLine="440"/>
        <w:rPr>
          <w:rFonts w:ascii="宋体" w:hAnsi="宋体" w:cs="宋体"/>
          <w:sz w:val="22"/>
          <w:szCs w:val="24"/>
        </w:rPr>
      </w:pPr>
    </w:p>
    <w:p w:rsidR="00000000" w:rsidRDefault="004528A9">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000000" w:rsidRDefault="004528A9">
      <w:pPr>
        <w:spacing w:line="240" w:lineRule="exact"/>
        <w:rPr>
          <w:rFonts w:ascii="Times New Roman" w:hAnsi="Times New Roman"/>
          <w:sz w:val="22"/>
        </w:rPr>
      </w:pPr>
    </w:p>
    <w:p w:rsidR="00000000" w:rsidRDefault="004528A9">
      <w:pPr>
        <w:widowControl/>
        <w:jc w:val="left"/>
        <w:rPr>
          <w:rFonts w:ascii="Times New Roman" w:hAnsi="Times New Roman"/>
        </w:rPr>
      </w:pPr>
    </w:p>
    <w:p>
      <w:r>
        <w:br w:type="page"/>
      </w:r>
    </w:p>
    <w:sectPr w:rsidR="00A31164">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5AE1">
      <w:r>
        <w:separator/>
      </w:r>
    </w:p>
  </w:endnote>
  <w:endnote w:type="continuationSeparator" w:id="0">
    <w:p w:rsidR="00000000" w:rsidRDefault="00E0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5AE1">
      <w:r>
        <w:separator/>
      </w:r>
    </w:p>
  </w:footnote>
  <w:footnote w:type="continuationSeparator" w:id="0">
    <w:p w:rsidR="00000000" w:rsidRDefault="00E05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64" w:rsidRDefault="00E05AE1">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C53BE"/>
    <w:multiLevelType w:val="hybridMultilevel"/>
    <w:tmpl w:val="B0F67D90"/>
    <w:lvl w:ilvl="0" w:tplc="98F2F324">
      <w:start w:val="1"/>
      <w:numFmt w:val="decimal"/>
      <w:lvlRestart w:val="0"/>
      <w:lvlText w:val="%1."/>
      <w:lvlJc w:val="left"/>
      <w:pPr>
        <w:tabs>
          <w:tab w:val="num" w:pos="0"/>
        </w:tabs>
        <w:ind w:left="660" w:hanging="360"/>
      </w:pPr>
      <w:rPr>
        <w:rFonts w:ascii="方正黑体_GBK" w:eastAsia="方正黑体_GBK" w:hAnsi="方正黑体_GBK" w:hint="default"/>
      </w:rPr>
    </w:lvl>
    <w:lvl w:ilvl="1" w:tplc="5DE47B16">
      <w:start w:val="1"/>
      <w:numFmt w:val="lowerLetter"/>
      <w:lvlText w:val="%2)"/>
      <w:lvlJc w:val="left"/>
      <w:pPr>
        <w:tabs>
          <w:tab w:val="num" w:pos="0"/>
        </w:tabs>
        <w:ind w:left="1140" w:hanging="420"/>
      </w:pPr>
      <w:rPr>
        <w:rFonts w:ascii="方正黑体_GBK" w:eastAsia="方正黑体_GBK" w:hAnsi="方正黑体_GBK" w:hint="default"/>
      </w:rPr>
    </w:lvl>
    <w:lvl w:ilvl="2" w:tplc="764251A6">
      <w:start w:val="1"/>
      <w:numFmt w:val="decimal"/>
      <w:lvlText w:val="%3."/>
      <w:lvlJc w:val="right"/>
      <w:pPr>
        <w:tabs>
          <w:tab w:val="num" w:pos="0"/>
        </w:tabs>
        <w:ind w:left="1560" w:hanging="420"/>
      </w:pPr>
      <w:rPr>
        <w:rFonts w:ascii="方正黑体_GBK" w:eastAsia="方正黑体_GBK" w:hAnsi="方正黑体_GBK" w:hint="default"/>
      </w:rPr>
    </w:lvl>
    <w:lvl w:ilvl="3" w:tplc="BBE4B41A">
      <w:start w:val="1"/>
      <w:numFmt w:val="decimal"/>
      <w:lvlText w:val="%4."/>
      <w:lvlJc w:val="left"/>
      <w:pPr>
        <w:tabs>
          <w:tab w:val="num" w:pos="0"/>
        </w:tabs>
        <w:ind w:left="1980" w:hanging="420"/>
      </w:pPr>
      <w:rPr>
        <w:rFonts w:ascii="方正黑体_GBK" w:eastAsia="方正黑体_GBK" w:hAnsi="方正黑体_GBK" w:hint="default"/>
      </w:rPr>
    </w:lvl>
    <w:lvl w:ilvl="4" w:tplc="F58CA4C0">
      <w:start w:val="1"/>
      <w:numFmt w:val="lowerLetter"/>
      <w:lvlText w:val="%5)"/>
      <w:lvlJc w:val="left"/>
      <w:pPr>
        <w:tabs>
          <w:tab w:val="num" w:pos="0"/>
        </w:tabs>
        <w:ind w:left="2400" w:hanging="420"/>
      </w:pPr>
      <w:rPr>
        <w:rFonts w:ascii="方正黑体_GBK" w:eastAsia="方正黑体_GBK" w:hAnsi="方正黑体_GBK" w:hint="default"/>
      </w:rPr>
    </w:lvl>
    <w:lvl w:ilvl="5" w:tplc="00CE16B4">
      <w:start w:val="1"/>
      <w:numFmt w:val="decimal"/>
      <w:lvlText w:val="%6."/>
      <w:lvlJc w:val="right"/>
      <w:pPr>
        <w:tabs>
          <w:tab w:val="num" w:pos="0"/>
        </w:tabs>
        <w:ind w:left="2820" w:hanging="420"/>
      </w:pPr>
      <w:rPr>
        <w:rFonts w:ascii="方正黑体_GBK" w:eastAsia="方正黑体_GBK" w:hAnsi="方正黑体_GBK" w:hint="default"/>
      </w:rPr>
    </w:lvl>
    <w:lvl w:ilvl="6" w:tplc="5E0A0786">
      <w:start w:val="1"/>
      <w:numFmt w:val="decimal"/>
      <w:lvlText w:val="%7."/>
      <w:lvlJc w:val="left"/>
      <w:pPr>
        <w:tabs>
          <w:tab w:val="num" w:pos="0"/>
        </w:tabs>
        <w:ind w:left="3240" w:hanging="420"/>
      </w:pPr>
      <w:rPr>
        <w:rFonts w:ascii="方正黑体_GBK" w:eastAsia="方正黑体_GBK" w:hAnsi="方正黑体_GBK" w:hint="default"/>
      </w:rPr>
    </w:lvl>
    <w:lvl w:ilvl="7" w:tplc="03BCBDBE">
      <w:start w:val="1"/>
      <w:numFmt w:val="lowerLetter"/>
      <w:lvlText w:val="%8)"/>
      <w:lvlJc w:val="left"/>
      <w:pPr>
        <w:tabs>
          <w:tab w:val="num" w:pos="0"/>
        </w:tabs>
        <w:ind w:left="3660" w:hanging="420"/>
      </w:pPr>
      <w:rPr>
        <w:rFonts w:ascii="方正黑体_GBK" w:eastAsia="方正黑体_GBK" w:hAnsi="方正黑体_GBK" w:hint="default"/>
      </w:rPr>
    </w:lvl>
    <w:lvl w:ilvl="8" w:tplc="DB2E1A9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nsid w:val="28544B57"/>
    <w:multiLevelType w:val="multilevel"/>
    <w:tmpl w:val="1478C05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nsid w:val="3A840F3D"/>
    <w:multiLevelType w:val="hybridMultilevel"/>
    <w:tmpl w:val="8ADA6A00"/>
    <w:lvl w:ilvl="0" w:tplc="E88AAFB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FAD426FA">
      <w:start w:val="1"/>
      <w:numFmt w:val="lowerLetter"/>
      <w:lvlText w:val="%2)"/>
      <w:lvlJc w:val="left"/>
      <w:pPr>
        <w:tabs>
          <w:tab w:val="num" w:pos="0"/>
        </w:tabs>
        <w:ind w:left="1141" w:hanging="420"/>
      </w:pPr>
      <w:rPr>
        <w:rFonts w:ascii="方正黑体_GBK" w:eastAsia="方正黑体_GBK" w:hAnsi="方正黑体_GBK" w:hint="default"/>
      </w:rPr>
    </w:lvl>
    <w:lvl w:ilvl="2" w:tplc="9C9C95D0">
      <w:start w:val="1"/>
      <w:numFmt w:val="decimal"/>
      <w:lvlText w:val="%3."/>
      <w:lvlJc w:val="right"/>
      <w:pPr>
        <w:tabs>
          <w:tab w:val="num" w:pos="0"/>
        </w:tabs>
        <w:ind w:left="1561" w:hanging="420"/>
      </w:pPr>
      <w:rPr>
        <w:rFonts w:ascii="方正黑体_GBK" w:eastAsia="方正黑体_GBK" w:hAnsi="方正黑体_GBK" w:hint="default"/>
      </w:rPr>
    </w:lvl>
    <w:lvl w:ilvl="3" w:tplc="BC6E3E0E">
      <w:start w:val="1"/>
      <w:numFmt w:val="decimal"/>
      <w:lvlText w:val="%4."/>
      <w:lvlJc w:val="left"/>
      <w:pPr>
        <w:tabs>
          <w:tab w:val="num" w:pos="0"/>
        </w:tabs>
        <w:ind w:left="1981" w:hanging="420"/>
      </w:pPr>
      <w:rPr>
        <w:rFonts w:ascii="方正黑体_GBK" w:eastAsia="方正黑体_GBK" w:hAnsi="方正黑体_GBK" w:hint="default"/>
      </w:rPr>
    </w:lvl>
    <w:lvl w:ilvl="4" w:tplc="F4F02934">
      <w:start w:val="1"/>
      <w:numFmt w:val="lowerLetter"/>
      <w:lvlText w:val="%5)"/>
      <w:lvlJc w:val="left"/>
      <w:pPr>
        <w:tabs>
          <w:tab w:val="num" w:pos="0"/>
        </w:tabs>
        <w:ind w:left="2401" w:hanging="420"/>
      </w:pPr>
      <w:rPr>
        <w:rFonts w:ascii="方正黑体_GBK" w:eastAsia="方正黑体_GBK" w:hAnsi="方正黑体_GBK" w:hint="default"/>
      </w:rPr>
    </w:lvl>
    <w:lvl w:ilvl="5" w:tplc="F4946A72">
      <w:start w:val="1"/>
      <w:numFmt w:val="decimal"/>
      <w:lvlText w:val="%6."/>
      <w:lvlJc w:val="right"/>
      <w:pPr>
        <w:tabs>
          <w:tab w:val="num" w:pos="0"/>
        </w:tabs>
        <w:ind w:left="2821" w:hanging="420"/>
      </w:pPr>
      <w:rPr>
        <w:rFonts w:ascii="方正黑体_GBK" w:eastAsia="方正黑体_GBK" w:hAnsi="方正黑体_GBK" w:hint="default"/>
      </w:rPr>
    </w:lvl>
    <w:lvl w:ilvl="6" w:tplc="F0F45CF2">
      <w:start w:val="1"/>
      <w:numFmt w:val="decimal"/>
      <w:lvlText w:val="%7."/>
      <w:lvlJc w:val="left"/>
      <w:pPr>
        <w:tabs>
          <w:tab w:val="num" w:pos="0"/>
        </w:tabs>
        <w:ind w:left="3241" w:hanging="420"/>
      </w:pPr>
      <w:rPr>
        <w:rFonts w:ascii="方正黑体_GBK" w:eastAsia="方正黑体_GBK" w:hAnsi="方正黑体_GBK" w:hint="default"/>
      </w:rPr>
    </w:lvl>
    <w:lvl w:ilvl="7" w:tplc="41FE18F8">
      <w:start w:val="1"/>
      <w:numFmt w:val="lowerLetter"/>
      <w:lvlText w:val="%8)"/>
      <w:lvlJc w:val="left"/>
      <w:pPr>
        <w:tabs>
          <w:tab w:val="num" w:pos="0"/>
        </w:tabs>
        <w:ind w:left="3661" w:hanging="420"/>
      </w:pPr>
      <w:rPr>
        <w:rFonts w:ascii="方正黑体_GBK" w:eastAsia="方正黑体_GBK" w:hAnsi="方正黑体_GBK" w:hint="default"/>
      </w:rPr>
    </w:lvl>
    <w:lvl w:ilvl="8" w:tplc="52D418D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nsid w:val="3FC94683"/>
    <w:multiLevelType w:val="multilevel"/>
    <w:tmpl w:val="81E25C9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nsid w:val="01AC70B8"/>
    <w:multiLevelType w:val="singleLevel"/>
    <w:tmpl w:val="5DF84C9C"/>
    <w:lvl w:ilvl="0">
      <w:start w:val="1"/>
      <w:numFmt w:val="decimal"/>
      <w:suff w:val="nothing"/>
      <w:lvlText w:val="%1."/>
      <w:lvlJc w:val="left"/>
    </w:lvl>
  </w:abstractNum>
  <w:abstractNum w:abstractNumId="5">
    <w:nsid w:val="00329B62"/>
    <w:multiLevelType w:val="singleLevel"/>
    <w:tmpl w:val="5DF84CBD"/>
    <w:lvl w:ilvl="0">
      <w:start w:val="1"/>
      <w:numFmt w:val="decimal"/>
      <w:suff w:val="nothing"/>
      <w:lvlText w:val="（%1）"/>
      <w:lvlJc w:val="left"/>
    </w:lvl>
  </w:abstractNum>
  <w:abstractNum w:abstractNumId="6">
    <w:nsid w:val="03CD48E3"/>
    <w:multiLevelType w:val="singleLevel"/>
    <w:tmpl w:val="5DF84D07"/>
    <w:lvl w:ilvl="0">
      <w:start w:val="1"/>
      <w:numFmt w:val="decimal"/>
      <w:suff w:val="nothing"/>
      <w:lvlText w:val="（%1）"/>
      <w:lvlJc w:val="left"/>
    </w:lvl>
  </w:abstractNum>
  <w:abstractNum w:abstractNumId="7">
    <w:nsid w:val="0008E296"/>
    <w:multiLevelType w:val="singleLevel"/>
    <w:tmpl w:val="510A3506"/>
    <w:lvl w:ilvl="0">
      <w:start w:val="1"/>
      <w:numFmt w:val="decimal"/>
      <w:suff w:val="nothing"/>
      <w:lvlText w:val="（%1）"/>
      <w:lvlJc w:val="left"/>
    </w:lvl>
  </w:abstractNum>
  <w:abstractNum w:abstractNumId="8">
    <w:nsid w:val="05EEC587"/>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19A2020"/>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24C6578"/>
    <w:multiLevelType w:val="singleLevel"/>
    <w:tmpl w:val="7A29506B"/>
    <w:lvl w:ilvl="0">
      <w:start w:val="1"/>
      <w:numFmt w:val="decimal"/>
      <w:suff w:val="nothing"/>
      <w:lvlText w:val="（%1）"/>
      <w:lvlJc w:val="left"/>
      <w:pPr>
        <w:ind w:left="499"/>
      </w:pPr>
    </w:lvl>
  </w:abstractNum>
  <w:abstractNum w:abstractNumId="11">
    <w:nsid w:val="039A7955"/>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37C43AE"/>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46B95BD"/>
    <w:multiLevelType w:val="singleLevel"/>
    <w:tmpl w:val="6D2A3EBA"/>
    <w:lvl w:ilvl="0">
      <w:start w:val="1"/>
      <w:numFmt w:val="decimal"/>
      <w:suff w:val="nothing"/>
      <w:lvlText w:val="（%1）"/>
      <w:lvlJc w:val="left"/>
    </w:lvl>
  </w:abstractNum>
  <w:num w:numId="1">
    <w:abstractNumId w:val="1"/>
  </w:num>
  <w:num w:numId="2">
    <w:abstractNumId w:val="3"/>
  </w:num>
  <w:num w:numId="3">
    <w:abstractNumId w:val="2"/>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31164"/>
    <w:rsid w:val="00A31164"/>
    <w:rsid w:val="00E0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2F53DC0-DE39-483D-B00A-F8239682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189547ab">
    <w:name w:val="Normal189547ab"/>
    <w:pPr>
      <w:widowControl w:val="0"/>
      <w:jc w:val="both"/>
    </w:pPr>
    <w:rPr>
      <w:rFonts w:ascii="方正黑体_GBK" w:eastAsia="方正黑体_GBK" w:hAnsi="方正黑体_GBK" w:cs="Times New Roman"/>
      <w:szCs w:val="21"/>
    </w:rPr>
  </w:style>
  <w:style w:type="paragraph" w:customStyle="1" w:styleId="heading149888aec">
    <w:name w:val="heading 149888aec"/>
    <w:basedOn w:val="Normal189547ab"/>
    <w:next w:val="a"/>
    <w:pPr>
      <w:keepNext/>
      <w:keepLines/>
      <w:spacing w:before="340" w:after="330" w:line="578" w:lineRule="auto"/>
      <w:outlineLvl w:val="0"/>
    </w:pPr>
    <w:rPr>
      <w:b/>
      <w:bCs/>
      <w:kern w:val="44"/>
      <w:sz w:val="44"/>
    </w:rPr>
  </w:style>
  <w:style w:type="paragraph" w:customStyle="1" w:styleId="heading221af35d2">
    <w:name w:val="heading 221af35d2"/>
    <w:basedOn w:val="Normal189547ab"/>
    <w:next w:val="a"/>
    <w:pPr>
      <w:keepNext/>
      <w:keepLines/>
      <w:spacing w:before="260" w:after="260" w:line="415" w:lineRule="auto"/>
      <w:outlineLvl w:val="1"/>
    </w:pPr>
    <w:rPr>
      <w:b/>
      <w:sz w:val="32"/>
    </w:rPr>
  </w:style>
  <w:style w:type="paragraph" w:customStyle="1" w:styleId="heading3997a5623">
    <w:name w:val="heading 3997a5623"/>
    <w:basedOn w:val="Normal189547ab"/>
    <w:next w:val="a"/>
    <w:pPr>
      <w:keepNext/>
      <w:keepLines/>
      <w:spacing w:before="260" w:after="260" w:line="415" w:lineRule="auto"/>
      <w:outlineLvl w:val="2"/>
    </w:pPr>
    <w:rPr>
      <w:b/>
      <w:sz w:val="32"/>
    </w:rPr>
  </w:style>
  <w:style w:type="character" w:customStyle="1" w:styleId="DefaultParagraphFont6e13b96a">
    <w:name w:val="Default Paragraph Font6e13b96a"/>
  </w:style>
  <w:style w:type="paragraph" w:customStyle="1" w:styleId="toc1fe64466c">
    <w:name w:val="toc 1fe64466c"/>
    <w:basedOn w:val="Normal189547ab"/>
    <w:next w:val="a"/>
    <w:autoRedefine/>
  </w:style>
  <w:style w:type="paragraph" w:customStyle="1" w:styleId="toc2bb04522c">
    <w:name w:val="toc 2bb04522c"/>
    <w:basedOn w:val="Normal189547ab"/>
    <w:next w:val="a"/>
    <w:autoRedefine/>
    <w:pPr>
      <w:ind w:left="420"/>
    </w:pPr>
  </w:style>
  <w:style w:type="paragraph" w:customStyle="1" w:styleId="toc3881b52d8">
    <w:name w:val="toc 3881b52d8"/>
    <w:basedOn w:val="Normal189547ab"/>
    <w:next w:val="a"/>
    <w:autoRedefine/>
    <w:pPr>
      <w:ind w:left="840"/>
    </w:pPr>
  </w:style>
  <w:style w:type="paragraph" w:customStyle="1" w:styleId="toc47a3e820b">
    <w:name w:val="toc 47a3e820b"/>
    <w:basedOn w:val="Normal189547ab"/>
    <w:next w:val="a"/>
    <w:autoRedefine/>
    <w:pPr>
      <w:ind w:left="1260"/>
    </w:pPr>
  </w:style>
  <w:style w:type="paragraph" w:customStyle="1" w:styleId="toc52448f4f9">
    <w:name w:val="toc 52448f4f9"/>
    <w:basedOn w:val="Normal189547ab"/>
    <w:next w:val="a"/>
    <w:autoRedefine/>
    <w:pPr>
      <w:ind w:left="1680"/>
    </w:pPr>
  </w:style>
  <w:style w:type="paragraph" w:customStyle="1" w:styleId="header3aee1c58">
    <w:name w:val="header3aee1c58"/>
    <w:basedOn w:val="Normal189547ab"/>
    <w:pPr>
      <w:pBdr>
        <w:bottom w:val="single" w:sz="6" w:space="1" w:color="auto"/>
      </w:pBdr>
      <w:tabs>
        <w:tab w:val="center" w:pos="4153"/>
        <w:tab w:val="right" w:pos="8307"/>
      </w:tabs>
      <w:snapToGrid w:val="0"/>
      <w:jc w:val="center"/>
    </w:pPr>
    <w:rPr>
      <w:sz w:val="18"/>
    </w:rPr>
  </w:style>
  <w:style w:type="paragraph" w:customStyle="1" w:styleId="footerc36b7f96">
    <w:name w:val="footerc36b7f96"/>
    <w:basedOn w:val="Normal189547ab"/>
    <w:pPr>
      <w:tabs>
        <w:tab w:val="center" w:pos="4153"/>
        <w:tab w:val="right" w:pos="8307"/>
      </w:tabs>
      <w:snapToGrid w:val="0"/>
      <w:jc w:val="left"/>
    </w:pPr>
    <w:rPr>
      <w:sz w:val="18"/>
    </w:rPr>
  </w:style>
  <w:style w:type="character" w:customStyle="1" w:styleId="Strongd9094ac2">
    <w:name w:val="Strongd9094ac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44228490">
    <w:name w:val="Normal44228490"/>
    <w:next w:val="10"/>
    <w:pPr>
      <w:widowControl w:val="0"/>
      <w:jc w:val="both"/>
    </w:pPr>
    <w:rPr>
      <w:rFonts w:ascii="方正黑体_GBK" w:eastAsia="方正黑体_GBK" w:hAnsi="方正黑体_GBK" w:cs="Times New Roman"/>
      <w:sz w:val="18"/>
      <w:szCs w:val="18"/>
    </w:rPr>
  </w:style>
  <w:style w:type="paragraph" w:customStyle="1" w:styleId="heading167151c7e">
    <w:name w:val="heading 167151c7e"/>
    <w:basedOn w:val="Normal44228490"/>
    <w:next w:val="a"/>
    <w:pPr>
      <w:keepNext/>
      <w:keepLines/>
      <w:spacing w:before="340" w:after="330" w:line="578" w:lineRule="auto"/>
      <w:outlineLvl w:val="0"/>
    </w:pPr>
    <w:rPr>
      <w:b/>
      <w:bCs/>
      <w:kern w:val="44"/>
      <w:sz w:val="44"/>
    </w:rPr>
  </w:style>
  <w:style w:type="paragraph" w:customStyle="1" w:styleId="heading2d66d91e4">
    <w:name w:val="heading 2d66d91e4"/>
    <w:basedOn w:val="Normal44228490"/>
    <w:next w:val="a"/>
    <w:pPr>
      <w:keepNext/>
      <w:keepLines/>
      <w:spacing w:before="260" w:after="260" w:line="415" w:lineRule="auto"/>
      <w:outlineLvl w:val="1"/>
    </w:pPr>
    <w:rPr>
      <w:b/>
      <w:sz w:val="32"/>
    </w:rPr>
  </w:style>
  <w:style w:type="paragraph" w:customStyle="1" w:styleId="heading3a6ef34f5">
    <w:name w:val="heading 3a6ef34f5"/>
    <w:basedOn w:val="Normal44228490"/>
    <w:next w:val="a"/>
    <w:pPr>
      <w:keepNext/>
      <w:keepLines/>
      <w:spacing w:before="260" w:after="260" w:line="415" w:lineRule="auto"/>
      <w:outlineLvl w:val="2"/>
    </w:pPr>
    <w:rPr>
      <w:b/>
      <w:sz w:val="32"/>
    </w:rPr>
  </w:style>
  <w:style w:type="character" w:customStyle="1" w:styleId="DefaultParagraphFont068aeedf">
    <w:name w:val="Default Paragraph Font068aeedf"/>
  </w:style>
  <w:style w:type="paragraph" w:customStyle="1" w:styleId="NormalIndente9b0ee8e">
    <w:name w:val="Normal Indente9b0ee8e"/>
    <w:basedOn w:val="Normal44228490"/>
    <w:pPr>
      <w:ind w:firstLineChars="200" w:firstLine="200"/>
    </w:pPr>
  </w:style>
  <w:style w:type="paragraph" w:customStyle="1" w:styleId="toc596e2c74d">
    <w:name w:val="toc 596e2c74d"/>
    <w:basedOn w:val="Normal44228490"/>
    <w:next w:val="a"/>
    <w:pPr>
      <w:ind w:left="1680"/>
    </w:pPr>
  </w:style>
  <w:style w:type="paragraph" w:customStyle="1" w:styleId="toc3eae732b1">
    <w:name w:val="toc 3eae732b1"/>
    <w:basedOn w:val="Normal44228490"/>
    <w:next w:val="a"/>
    <w:pPr>
      <w:ind w:left="840"/>
    </w:pPr>
  </w:style>
  <w:style w:type="paragraph" w:customStyle="1" w:styleId="footer9cba5895">
    <w:name w:val="footer9cba5895"/>
    <w:basedOn w:val="Normal44228490"/>
    <w:pPr>
      <w:tabs>
        <w:tab w:val="center" w:pos="4153"/>
        <w:tab w:val="right" w:pos="8307"/>
      </w:tabs>
      <w:snapToGrid w:val="0"/>
      <w:jc w:val="left"/>
    </w:pPr>
  </w:style>
  <w:style w:type="paragraph" w:customStyle="1" w:styleId="header5424ebda">
    <w:name w:val="header5424ebda"/>
    <w:basedOn w:val="Normal44228490"/>
    <w:pPr>
      <w:pBdr>
        <w:bottom w:val="single" w:sz="6" w:space="1" w:color="auto"/>
      </w:pBdr>
      <w:tabs>
        <w:tab w:val="center" w:pos="4153"/>
        <w:tab w:val="right" w:pos="8307"/>
      </w:tabs>
      <w:snapToGrid w:val="0"/>
      <w:jc w:val="center"/>
    </w:pPr>
  </w:style>
  <w:style w:type="paragraph" w:customStyle="1" w:styleId="toc18cc5c2a2">
    <w:name w:val="toc 18cc5c2a2"/>
    <w:basedOn w:val="Normal44228490"/>
    <w:next w:val="a"/>
  </w:style>
  <w:style w:type="paragraph" w:customStyle="1" w:styleId="toc435a0488d">
    <w:name w:val="toc 435a0488d"/>
    <w:basedOn w:val="Normal44228490"/>
    <w:next w:val="a"/>
    <w:pPr>
      <w:ind w:left="1260"/>
    </w:pPr>
  </w:style>
  <w:style w:type="paragraph" w:customStyle="1" w:styleId="toc20172c995">
    <w:name w:val="toc 20172c995"/>
    <w:basedOn w:val="Normal44228490"/>
    <w:next w:val="a"/>
    <w:pPr>
      <w:ind w:left="420"/>
    </w:pPr>
  </w:style>
  <w:style w:type="paragraph" w:customStyle="1" w:styleId="NormalWeb94b410aa">
    <w:name w:val="Normal (Web)94b410a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a803f09fa803f09">
    <w:name w:val="Normalfa803f09fa803f09"/>
    <w:next w:val="10"/>
    <w:pPr>
      <w:widowControl w:val="0"/>
      <w:jc w:val="both"/>
    </w:pPr>
    <w:rPr>
      <w:rFonts w:ascii="方正黑体_GBK" w:eastAsia="方正黑体_GBK" w:hAnsi="方正黑体_GBK" w:cs="Times New Roman"/>
      <w:szCs w:val="21"/>
    </w:rPr>
  </w:style>
  <w:style w:type="paragraph" w:customStyle="1" w:styleId="heading1fb87eed5fb87eed5">
    <w:name w:val="heading 1fb87eed5fb87eed5"/>
    <w:basedOn w:val="Normalfa803f09fa803f09"/>
    <w:next w:val="a"/>
    <w:pPr>
      <w:keepNext/>
      <w:keepLines/>
      <w:spacing w:before="340" w:after="330" w:line="578" w:lineRule="auto"/>
      <w:outlineLvl w:val="0"/>
    </w:pPr>
    <w:rPr>
      <w:b/>
      <w:bCs/>
      <w:kern w:val="44"/>
      <w:sz w:val="44"/>
    </w:rPr>
  </w:style>
  <w:style w:type="paragraph" w:customStyle="1" w:styleId="heading2abaff2b0abaff2b0">
    <w:name w:val="heading 2abaff2b0abaff2b0"/>
    <w:basedOn w:val="Normalfa803f09fa803f09"/>
    <w:next w:val="a"/>
    <w:pPr>
      <w:keepNext/>
      <w:keepLines/>
      <w:spacing w:before="260" w:after="260" w:line="415" w:lineRule="auto"/>
      <w:outlineLvl w:val="1"/>
    </w:pPr>
    <w:rPr>
      <w:b/>
      <w:sz w:val="32"/>
    </w:rPr>
  </w:style>
  <w:style w:type="paragraph" w:customStyle="1" w:styleId="heading38874409188744091">
    <w:name w:val="heading 38874409188744091"/>
    <w:basedOn w:val="Normalfa803f09fa803f09"/>
    <w:next w:val="a"/>
    <w:pPr>
      <w:keepNext/>
      <w:keepLines/>
      <w:spacing w:before="260" w:after="260" w:line="415" w:lineRule="auto"/>
      <w:outlineLvl w:val="2"/>
    </w:pPr>
    <w:rPr>
      <w:b/>
      <w:sz w:val="32"/>
    </w:rPr>
  </w:style>
  <w:style w:type="character" w:customStyle="1" w:styleId="DefaultParagraphFont8236273582362735">
    <w:name w:val="Default Paragraph Font8236273582362735"/>
  </w:style>
  <w:style w:type="paragraph" w:customStyle="1" w:styleId="1c14e010ec14e010e">
    <w:name w:val="引文目录1c14e010ec14e010e"/>
    <w:basedOn w:val="Normalfa803f09fa803f09"/>
    <w:next w:val="a"/>
    <w:pPr>
      <w:ind w:leftChars="200" w:left="200"/>
    </w:pPr>
  </w:style>
  <w:style w:type="paragraph" w:customStyle="1" w:styleId="toc5654c38e7654c38e7">
    <w:name w:val="toc 5654c38e7654c38e7"/>
    <w:basedOn w:val="Normalfa803f09fa803f09"/>
    <w:next w:val="a"/>
    <w:pPr>
      <w:ind w:left="1680"/>
    </w:pPr>
  </w:style>
  <w:style w:type="paragraph" w:customStyle="1" w:styleId="toc3ca0519b9ca0519b9">
    <w:name w:val="toc 3ca0519b9ca0519b9"/>
    <w:basedOn w:val="Normalfa803f09fa803f09"/>
    <w:next w:val="a"/>
    <w:pPr>
      <w:ind w:left="840"/>
    </w:pPr>
  </w:style>
  <w:style w:type="paragraph" w:customStyle="1" w:styleId="footer7f7319977f731997">
    <w:name w:val="footer7f7319977f731997"/>
    <w:basedOn w:val="Normalfa803f09fa803f09"/>
    <w:pPr>
      <w:tabs>
        <w:tab w:val="center" w:pos="4153"/>
        <w:tab w:val="right" w:pos="8307"/>
      </w:tabs>
      <w:snapToGrid w:val="0"/>
      <w:jc w:val="left"/>
    </w:pPr>
    <w:rPr>
      <w:sz w:val="18"/>
    </w:rPr>
  </w:style>
  <w:style w:type="paragraph" w:customStyle="1" w:styleId="header2ea9e4512ea9e451">
    <w:name w:val="header2ea9e4512ea9e451"/>
    <w:basedOn w:val="Normalfa803f09fa803f09"/>
    <w:pPr>
      <w:pBdr>
        <w:bottom w:val="single" w:sz="6" w:space="1" w:color="auto"/>
      </w:pBdr>
      <w:tabs>
        <w:tab w:val="center" w:pos="4153"/>
        <w:tab w:val="right" w:pos="8307"/>
      </w:tabs>
      <w:snapToGrid w:val="0"/>
      <w:jc w:val="center"/>
    </w:pPr>
    <w:rPr>
      <w:sz w:val="18"/>
    </w:rPr>
  </w:style>
  <w:style w:type="paragraph" w:customStyle="1" w:styleId="toc1d3813ae1d3813ae1">
    <w:name w:val="toc 1d3813ae1d3813ae1"/>
    <w:basedOn w:val="Normalfa803f09fa803f09"/>
    <w:next w:val="a"/>
  </w:style>
  <w:style w:type="paragraph" w:customStyle="1" w:styleId="toc435ee01ae35ee01ae">
    <w:name w:val="toc 435ee01ae35ee01ae"/>
    <w:basedOn w:val="Normalfa803f09fa803f09"/>
    <w:next w:val="a"/>
    <w:pPr>
      <w:ind w:left="1260"/>
    </w:pPr>
  </w:style>
  <w:style w:type="paragraph" w:customStyle="1" w:styleId="toc25635c6475635c647">
    <w:name w:val="toc 25635c6475635c647"/>
    <w:basedOn w:val="Normalfa803f09fa803f09"/>
    <w:next w:val="a"/>
    <w:pPr>
      <w:ind w:left="420"/>
    </w:pPr>
  </w:style>
  <w:style w:type="paragraph" w:customStyle="1" w:styleId="15d38c0975d38c097">
    <w:name w:val="列出段落15d38c0975d38c097"/>
    <w:pPr>
      <w:widowControl w:val="0"/>
      <w:ind w:firstLineChars="200" w:firstLine="200"/>
      <w:jc w:val="both"/>
    </w:pPr>
    <w:rPr>
      <w:rFonts w:ascii="方正黑体_GBK" w:eastAsia="方正黑体_GBK" w:hAnsi="方正黑体_GBK" w:cs="Times New Roman"/>
      <w:szCs w:val="21"/>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qFormat/>
    <w:pPr>
      <w:widowControl/>
      <w:spacing w:before="102" w:after="102" w:line="1099" w:lineRule="atLeast"/>
      <w:ind w:firstLine="419"/>
      <w:jc w:val="left"/>
      <w:textAlignment w:val="baseline"/>
    </w:pPr>
    <w:rPr>
      <w:rFonts w:ascii="Times New Roman" w:hAnsi="Times New Roman"/>
      <w:color w:val="000000"/>
      <w:kern w:val="0"/>
      <w:sz w:val="24"/>
      <w:szCs w:val="20"/>
    </w:rPr>
  </w:style>
  <w:style w:type="paragraph" w:customStyle="1" w:styleId="12">
    <w:name w:val="列表段落1"/>
    <w:basedOn w:val="a"/>
    <w:uiPriority w:val="99"/>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3646</Words>
  <Characters>20787</Characters>
  <Application>Microsoft Office Word</Application>
  <DocSecurity>0</DocSecurity>
  <Lines>173</Lines>
  <Paragraphs>48</Paragraphs>
  <ScaleCrop>false</ScaleCrop>
  <Company/>
  <LinksUpToDate>false</LinksUpToDate>
  <CharactersWithSpaces>24385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2025-05-26T00:56:00Z</dcterms:created>
  <dcterms:modified xsi:type="dcterms:W3CDTF">2025-05-26T00:56:00Z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